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F08A" w14:textId="1D33D94A" w:rsidR="00903DC2" w:rsidRDefault="00D16103" w:rsidP="00DD1287">
      <w:pPr>
        <w:spacing w:after="0"/>
        <w:jc w:val="center"/>
      </w:pPr>
      <w:r>
        <w:t>Equilibrium Dependence of Iron (III) Thiocyanate Complexation</w:t>
      </w:r>
    </w:p>
    <w:p w14:paraId="6923BA68" w14:textId="09E7B5F3" w:rsidR="00D16103" w:rsidRDefault="00D16103" w:rsidP="00DD1287">
      <w:pPr>
        <w:spacing w:after="0"/>
        <w:jc w:val="center"/>
      </w:pPr>
      <w:r>
        <w:t>Nathan Gillispie</w:t>
      </w:r>
    </w:p>
    <w:p w14:paraId="22747CCC" w14:textId="3DD2537B" w:rsidR="00D16103" w:rsidRDefault="00D16103" w:rsidP="00D16103">
      <w:pPr>
        <w:jc w:val="left"/>
      </w:pPr>
      <w:r>
        <w:tab/>
        <w:t>For the complexation reaction,</w:t>
      </w:r>
    </w:p>
    <w:p w14:paraId="193BEF64" w14:textId="57AECC8C" w:rsidR="00D16103" w:rsidRPr="00D16103" w:rsidRDefault="00000000" w:rsidP="00D16103">
      <w:pPr>
        <w:jc w:val="center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SCN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⇄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[Fe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SCN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2+</m:t>
              </m:r>
            </m:sup>
          </m:sSup>
        </m:oMath>
      </m:oMathPara>
    </w:p>
    <w:p w14:paraId="67E9F3B2" w14:textId="4D9C9A28" w:rsidR="00D16103" w:rsidRDefault="004C371C" w:rsidP="00D16103">
      <w:pPr>
        <w:jc w:val="left"/>
        <w:rPr>
          <w:iCs/>
        </w:rPr>
      </w:pPr>
      <w:r>
        <w:rPr>
          <w:iCs/>
        </w:rPr>
        <w:t>t</w:t>
      </w:r>
      <w:r w:rsidR="00D16103">
        <w:rPr>
          <w:iCs/>
        </w:rPr>
        <w:t>he apparent equilibrium constant K</w:t>
      </w:r>
      <w:r w:rsidR="00D16103" w:rsidRPr="00D16103">
        <w:rPr>
          <w:iCs/>
          <w:vertAlign w:val="subscript"/>
        </w:rPr>
        <w:t>c</w:t>
      </w:r>
      <w:r w:rsidR="00D16103">
        <w:rPr>
          <w:iCs/>
          <w:vertAlign w:val="subscript"/>
        </w:rPr>
        <w:t xml:space="preserve"> </w:t>
      </w:r>
      <w:r w:rsidR="00D16103">
        <w:rPr>
          <w:iCs/>
        </w:rPr>
        <w:t xml:space="preserve">can be calculated using the initial </w:t>
      </w:r>
      <w:r w:rsidR="00171C96">
        <w:rPr>
          <w:iCs/>
        </w:rPr>
        <w:t>concentrations of iron (III) C</w:t>
      </w:r>
      <w:r w:rsidR="00171C96" w:rsidRPr="00171C96">
        <w:rPr>
          <w:iCs/>
          <w:vertAlign w:val="subscript"/>
        </w:rPr>
        <w:t>F</w:t>
      </w:r>
      <w:r w:rsidR="00171C96">
        <w:rPr>
          <w:iCs/>
        </w:rPr>
        <w:t xml:space="preserve"> and thiocyanate C</w:t>
      </w:r>
      <w:r w:rsidR="00171C96" w:rsidRPr="00171C96">
        <w:rPr>
          <w:iCs/>
          <w:vertAlign w:val="subscript"/>
        </w:rPr>
        <w:t>S</w:t>
      </w:r>
      <w:r w:rsidR="00171C96">
        <w:rPr>
          <w:iCs/>
        </w:rPr>
        <w:t xml:space="preserve"> through the following linear relationship</w:t>
      </w:r>
    </w:p>
    <w:p w14:paraId="7831ED63" w14:textId="6A39B315" w:rsidR="00171C96" w:rsidRPr="00171C96" w:rsidRDefault="00000000" w:rsidP="00D16103">
      <w:pPr>
        <w:jc w:val="left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εb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εb</m:t>
              </m:r>
            </m:den>
          </m:f>
        </m:oMath>
      </m:oMathPara>
    </w:p>
    <w:p w14:paraId="4298190D" w14:textId="06F10FBB" w:rsidR="00171C96" w:rsidRDefault="00171C96" w:rsidP="00D16103">
      <w:pPr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t xml:space="preserve">for molar absorptivity ε, cuvette length b and absorbance A. Although, the ε and b </w:t>
      </w:r>
      <w:r w:rsidR="004D03CA">
        <w:rPr>
          <w:rFonts w:eastAsiaTheme="minorEastAsia"/>
          <w:iCs/>
        </w:rPr>
        <w:t>variables</w:t>
      </w:r>
      <w:r>
        <w:rPr>
          <w:rFonts w:eastAsiaTheme="minorEastAsia"/>
          <w:iCs/>
        </w:rPr>
        <w:t xml:space="preserve"> disappear by taking the slope/y-intercept ratio of a plot of C</w:t>
      </w:r>
      <w:r w:rsidRPr="00171C96">
        <w:rPr>
          <w:rFonts w:eastAsiaTheme="minorEastAsia"/>
          <w:iCs/>
          <w:vertAlign w:val="subscript"/>
        </w:rPr>
        <w:t>F</w:t>
      </w:r>
      <w:r>
        <w:rPr>
          <w:rFonts w:eastAsiaTheme="minorEastAsia"/>
          <w:iCs/>
        </w:rPr>
        <w:t>C</w:t>
      </w:r>
      <w:r w:rsidRPr="00171C96">
        <w:rPr>
          <w:rFonts w:eastAsiaTheme="minorEastAsia"/>
          <w:iCs/>
          <w:vertAlign w:val="subscript"/>
        </w:rPr>
        <w:t>S</w:t>
      </w:r>
      <w:r>
        <w:rPr>
          <w:rFonts w:eastAsiaTheme="minorEastAsia"/>
          <w:iCs/>
        </w:rPr>
        <w:t>/A vs. C</w:t>
      </w:r>
      <w:r w:rsidRPr="00171C96">
        <w:rPr>
          <w:rFonts w:eastAsiaTheme="minorEastAsia"/>
          <w:iCs/>
          <w:vertAlign w:val="subscript"/>
        </w:rPr>
        <w:t>F</w:t>
      </w:r>
      <w:r>
        <w:rPr>
          <w:rFonts w:eastAsiaTheme="minorEastAsia"/>
          <w:iCs/>
        </w:rPr>
        <w:t>+C</w:t>
      </w:r>
      <w:r w:rsidRPr="00171C96">
        <w:rPr>
          <w:rFonts w:eastAsiaTheme="minorEastAsia"/>
          <w:iCs/>
          <w:vertAlign w:val="subscript"/>
        </w:rPr>
        <w:t>S</w:t>
      </w:r>
      <w:r w:rsidR="00D92A3D">
        <w:rPr>
          <w:rFonts w:eastAsiaTheme="minorEastAsia"/>
          <w:iCs/>
        </w:rPr>
        <w:t xml:space="preserve"> giving only K</w:t>
      </w:r>
      <w:r w:rsidR="00D92A3D">
        <w:rPr>
          <w:rFonts w:eastAsiaTheme="minorEastAsia"/>
          <w:iCs/>
          <w:vertAlign w:val="subscript"/>
        </w:rPr>
        <w:t>c</w:t>
      </w:r>
      <w:r>
        <w:rPr>
          <w:rFonts w:eastAsiaTheme="minorEastAsia"/>
          <w:iCs/>
        </w:rPr>
        <w:t>.</w:t>
      </w:r>
    </w:p>
    <w:p w14:paraId="6B9B879D" w14:textId="77777777" w:rsidR="001B7E63" w:rsidRDefault="00DD1287" w:rsidP="001B7E63">
      <w:pPr>
        <w:keepNext/>
        <w:jc w:val="center"/>
      </w:pPr>
      <w:r>
        <w:rPr>
          <w:noProof/>
        </w:rPr>
        <w:drawing>
          <wp:inline distT="0" distB="0" distL="0" distR="0" wp14:anchorId="4C1236E0" wp14:editId="5BC64DE8">
            <wp:extent cx="4740123" cy="2731509"/>
            <wp:effectExtent l="0" t="0" r="3810" b="1206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6028E2B-2B8C-74D2-EB18-0D4E37634F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8F535EC" w14:textId="4460A733" w:rsidR="004D03CA" w:rsidRPr="001B7E63" w:rsidRDefault="001B7E63" w:rsidP="001B7E63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r w:rsidRPr="001B7E63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1B7E63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1B7E63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1B7E63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031E47">
        <w:rPr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1B7E63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1B7E63">
        <w:rPr>
          <w:b/>
          <w:bCs/>
          <w:i w:val="0"/>
          <w:iCs w:val="0"/>
          <w:color w:val="auto"/>
          <w:sz w:val="20"/>
          <w:szCs w:val="20"/>
        </w:rPr>
        <w:t>:</w:t>
      </w:r>
      <w:r w:rsidRPr="001B7E63">
        <w:rPr>
          <w:i w:val="0"/>
          <w:iCs w:val="0"/>
          <w:color w:val="auto"/>
          <w:sz w:val="20"/>
          <w:szCs w:val="20"/>
        </w:rPr>
        <w:t xml:space="preserve"> Plot for the calculation of Kc.</w:t>
      </w:r>
    </w:p>
    <w:p w14:paraId="7B824E75" w14:textId="56F0128F" w:rsidR="006861C2" w:rsidRDefault="006861C2" w:rsidP="006861C2">
      <w:pPr>
        <w:jc w:val="left"/>
        <w:rPr>
          <w:iCs/>
        </w:rPr>
      </w:pPr>
      <w:r>
        <w:rPr>
          <w:iCs/>
        </w:rPr>
        <w:t>For our data,</w:t>
      </w:r>
    </w:p>
    <w:p w14:paraId="58D9907E" w14:textId="178416B7" w:rsidR="006861C2" w:rsidRPr="003324F4" w:rsidRDefault="00000000" w:rsidP="006861C2">
      <w:pPr>
        <w:jc w:val="left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0.0003062</m:t>
              </m:r>
            </m:num>
            <m:den>
              <m:r>
                <w:rPr>
                  <w:rFonts w:ascii="Cambria Math" w:hAnsi="Cambria Math"/>
                </w:rPr>
                <m:t>0.000001886</m:t>
              </m:r>
            </m:den>
          </m:f>
          <m:r>
            <w:rPr>
              <w:rFonts w:ascii="Cambria Math" w:hAnsi="Cambria Math"/>
            </w:rPr>
            <m:t>=162</m:t>
          </m:r>
        </m:oMath>
      </m:oMathPara>
    </w:p>
    <w:p w14:paraId="7B007C25" w14:textId="15DE940E" w:rsidR="003324F4" w:rsidRDefault="00315F2B" w:rsidP="006861C2">
      <w:pPr>
        <w:jc w:val="left"/>
        <w:rPr>
          <w:iCs/>
        </w:rPr>
      </w:pPr>
      <w:r>
        <w:rPr>
          <w:iCs/>
        </w:rPr>
        <w:t>Alternatively, the thermodynamic equilibrium constant K</w:t>
      </w:r>
      <w:r w:rsidRPr="00315F2B">
        <w:rPr>
          <w:iCs/>
          <w:vertAlign w:val="subscript"/>
        </w:rPr>
        <w:t>a</w:t>
      </w:r>
      <w:r>
        <w:rPr>
          <w:iCs/>
        </w:rPr>
        <w:t xml:space="preserve">, can be calculated using standard Gibbs energy of reaction </w:t>
      </w:r>
      <w:proofErr w:type="spellStart"/>
      <w:r>
        <w:rPr>
          <w:iCs/>
        </w:rPr>
        <w:t>ΔG</w:t>
      </w:r>
      <w:r w:rsidRPr="00315F2B">
        <w:rPr>
          <w:iCs/>
          <w:vertAlign w:val="subscript"/>
        </w:rPr>
        <w:t>r</w:t>
      </w:r>
      <w:proofErr w:type="spellEnd"/>
      <w:r>
        <w:rPr>
          <w:iCs/>
        </w:rPr>
        <w:t>, and temperature T</w:t>
      </w:r>
      <w:r w:rsidR="00887C37">
        <w:rPr>
          <w:iCs/>
        </w:rPr>
        <w:t xml:space="preserve"> from standard formation values</w:t>
      </w:r>
      <w:r>
        <w:rPr>
          <w:iCs/>
        </w:rPr>
        <w:t>.</w:t>
      </w:r>
    </w:p>
    <w:p w14:paraId="31FEC2D3" w14:textId="4F236DDC" w:rsidR="00315F2B" w:rsidRPr="00FB5D53" w:rsidRDefault="00315F2B" w:rsidP="006861C2">
      <w:pPr>
        <w:jc w:val="left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=-RT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func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-16900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mol</m:t>
                      </m:r>
                    </m:den>
                  </m:f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-8.314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 mol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298.15K</m:t>
                  </m:r>
                </m:den>
              </m:f>
            </m:e>
          </m:func>
          <m:r>
            <w:rPr>
              <w:rFonts w:ascii="Cambria Math" w:hAnsi="Cambria Math"/>
            </w:rPr>
            <m:t>=914</m:t>
          </m:r>
        </m:oMath>
      </m:oMathPara>
    </w:p>
    <w:p w14:paraId="1D3A6418" w14:textId="213E2CC9" w:rsidR="00FB5D53" w:rsidRDefault="00887C37" w:rsidP="006861C2">
      <w:pPr>
        <w:jc w:val="left"/>
        <w:rPr>
          <w:rFonts w:eastAsiaTheme="minorEastAsia"/>
        </w:rPr>
      </w:pPr>
      <w:r>
        <w:rPr>
          <w:rFonts w:eastAsiaTheme="minorEastAsia"/>
        </w:rPr>
        <w:lastRenderedPageBreak/>
        <w:t xml:space="preserve">We can compare our </w:t>
      </w:r>
      <w:r w:rsidR="00BD1FBA">
        <w:rPr>
          <w:rFonts w:eastAsiaTheme="minorEastAsia"/>
        </w:rPr>
        <w:t xml:space="preserve">apparent equilibrium constant to the literature by the relationship to the thermodynamic equilibrium constant by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</m:sSub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sub>
        </m:sSub>
      </m:oMath>
      <w:r w:rsidR="004E7DB4">
        <w:rPr>
          <w:rFonts w:eastAsiaTheme="minorEastAsia"/>
        </w:rPr>
        <w:t xml:space="preserve">. </w:t>
      </w:r>
      <w:proofErr w:type="spellStart"/>
      <w:r w:rsidR="004E7DB4">
        <w:rPr>
          <w:rFonts w:eastAsiaTheme="minorEastAsia"/>
        </w:rPr>
        <w:t>K</w:t>
      </w:r>
      <w:r w:rsidR="004E7DB4" w:rsidRPr="004E7DB4">
        <w:rPr>
          <w:rFonts w:eastAsiaTheme="minorEastAsia"/>
          <w:vertAlign w:val="subscript"/>
        </w:rPr>
        <w:t>γ</w:t>
      </w:r>
      <w:proofErr w:type="spellEnd"/>
      <w:r w:rsidR="004E7DB4">
        <w:rPr>
          <w:rFonts w:eastAsiaTheme="minorEastAsia"/>
        </w:rPr>
        <w:t xml:space="preserve"> is calculated via the Davies equation. For each addition of iron (III), the ionic strength of solution changes. We find that </w:t>
      </w:r>
      <w:proofErr w:type="spellStart"/>
      <w:r w:rsidR="004E7DB4">
        <w:rPr>
          <w:rFonts w:eastAsiaTheme="minorEastAsia"/>
        </w:rPr>
        <w:t>K</w:t>
      </w:r>
      <w:r w:rsidR="004E7DB4" w:rsidRPr="004E7DB4">
        <w:rPr>
          <w:rFonts w:eastAsiaTheme="minorEastAsia"/>
          <w:vertAlign w:val="subscript"/>
        </w:rPr>
        <w:t>γ</w:t>
      </w:r>
      <w:proofErr w:type="spellEnd"/>
      <w:r w:rsidR="004E7DB4">
        <w:rPr>
          <w:rFonts w:eastAsiaTheme="minorEastAsia"/>
        </w:rPr>
        <w:t xml:space="preserve"> does not deviate from the mean value </w:t>
      </w:r>
      <w:r w:rsidR="009616AE">
        <w:rPr>
          <w:rFonts w:eastAsiaTheme="minorEastAsia"/>
        </w:rPr>
        <w:t xml:space="preserve">of 2.235 </w:t>
      </w:r>
      <w:r w:rsidR="004E7DB4">
        <w:rPr>
          <w:rFonts w:eastAsiaTheme="minorEastAsia"/>
        </w:rPr>
        <w:t>by more than 0.06%</w:t>
      </w:r>
      <w:r w:rsidR="009616AE">
        <w:rPr>
          <w:rFonts w:eastAsiaTheme="minorEastAsia"/>
        </w:rPr>
        <w:t xml:space="preserve"> for all ionic strengths in the reaction.</w:t>
      </w:r>
    </w:p>
    <w:p w14:paraId="13B6D6A3" w14:textId="77777777" w:rsidR="00842552" w:rsidRDefault="009616AE" w:rsidP="00842552">
      <w:pPr>
        <w:keepNext/>
        <w:jc w:val="center"/>
      </w:pPr>
      <w:r>
        <w:rPr>
          <w:noProof/>
        </w:rPr>
        <w:drawing>
          <wp:inline distT="0" distB="0" distL="0" distR="0" wp14:anchorId="7DA09108" wp14:editId="61A7ACB3">
            <wp:extent cx="4568247" cy="2743200"/>
            <wp:effectExtent l="0" t="0" r="381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B4DBC3D-9225-7F0A-6AC1-96401C3183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948D4C9" w14:textId="15E90C35" w:rsidR="009616AE" w:rsidRPr="00842552" w:rsidRDefault="00842552" w:rsidP="00842552">
      <w:pPr>
        <w:pStyle w:val="Caption"/>
        <w:jc w:val="center"/>
        <w:rPr>
          <w:rFonts w:eastAsiaTheme="minorEastAsia"/>
          <w:i w:val="0"/>
          <w:iCs w:val="0"/>
          <w:color w:val="auto"/>
          <w:sz w:val="20"/>
          <w:szCs w:val="20"/>
        </w:rPr>
      </w:pPr>
      <w:r w:rsidRPr="00842552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842552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842552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842552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031E47">
        <w:rPr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842552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842552">
        <w:rPr>
          <w:b/>
          <w:bCs/>
          <w:i w:val="0"/>
          <w:iCs w:val="0"/>
          <w:color w:val="auto"/>
          <w:sz w:val="20"/>
          <w:szCs w:val="20"/>
        </w:rPr>
        <w:t>:</w:t>
      </w:r>
      <w:r w:rsidRPr="00842552">
        <w:rPr>
          <w:i w:val="0"/>
          <w:iCs w:val="0"/>
          <w:color w:val="auto"/>
          <w:sz w:val="20"/>
          <w:szCs w:val="20"/>
        </w:rPr>
        <w:t xml:space="preserve"> Demonstration of the stability of </w:t>
      </w:r>
      <w:proofErr w:type="spellStart"/>
      <w:r w:rsidRPr="00842552">
        <w:rPr>
          <w:i w:val="0"/>
          <w:iCs w:val="0"/>
          <w:color w:val="auto"/>
          <w:sz w:val="20"/>
          <w:szCs w:val="20"/>
        </w:rPr>
        <w:t>Kγ</w:t>
      </w:r>
      <w:proofErr w:type="spellEnd"/>
      <w:r w:rsidR="00174ED1">
        <w:rPr>
          <w:i w:val="0"/>
          <w:iCs w:val="0"/>
          <w:color w:val="auto"/>
          <w:sz w:val="20"/>
          <w:szCs w:val="20"/>
        </w:rPr>
        <w:t>.</w:t>
      </w:r>
    </w:p>
    <w:p w14:paraId="204FE9EC" w14:textId="1A31B8CA" w:rsidR="0051292F" w:rsidRDefault="007C2632" w:rsidP="006861C2">
      <w:pPr>
        <w:jc w:val="left"/>
        <w:rPr>
          <w:rFonts w:eastAsiaTheme="minorEastAsia"/>
        </w:rPr>
      </w:pPr>
      <w:r>
        <w:rPr>
          <w:rFonts w:eastAsiaTheme="minorEastAsia"/>
        </w:rPr>
        <w:t>Because of this, we can find the calculated thermodynamic constant for our data.</w:t>
      </w:r>
    </w:p>
    <w:p w14:paraId="008AE578" w14:textId="6F41D4CB" w:rsidR="007C2632" w:rsidRPr="007C2632" w:rsidRDefault="00000000" w:rsidP="006861C2">
      <w:pPr>
        <w:jc w:val="left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=2.235*162=362</m:t>
          </m:r>
        </m:oMath>
      </m:oMathPara>
    </w:p>
    <w:p w14:paraId="4B8D71BF" w14:textId="07092E85" w:rsidR="007C2632" w:rsidRDefault="007C2632" w:rsidP="006861C2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This value is closer to the literature calculated Ka than Kc due to the salting in effect. When </w:t>
      </w:r>
      <w:proofErr w:type="spellStart"/>
      <w:r>
        <w:rPr>
          <w:rFonts w:eastAsiaTheme="minorEastAsia"/>
        </w:rPr>
        <w:t>Kγ</w:t>
      </w:r>
      <w:proofErr w:type="spellEnd"/>
      <w:r>
        <w:rPr>
          <w:rFonts w:eastAsiaTheme="minorEastAsia"/>
        </w:rPr>
        <w:t xml:space="preserve"> is calculated for hypothetical much higher concentrations, the </w:t>
      </w:r>
      <w:proofErr w:type="spellStart"/>
      <w:r>
        <w:rPr>
          <w:rFonts w:eastAsiaTheme="minorEastAsia"/>
        </w:rPr>
        <w:t>Kγ</w:t>
      </w:r>
      <w:proofErr w:type="spellEnd"/>
      <w:r>
        <w:rPr>
          <w:rFonts w:eastAsiaTheme="minorEastAsia"/>
        </w:rPr>
        <w:t xml:space="preserve"> vs. ionic strength graph obeys an almost perfect exponential fit. Applying an exponential fit to the graph and extrapolating back to I=0, we find </w:t>
      </w:r>
      <w:proofErr w:type="spellStart"/>
      <w:r>
        <w:rPr>
          <w:rFonts w:eastAsiaTheme="minorEastAsia"/>
        </w:rPr>
        <w:t>Kγ</w:t>
      </w:r>
      <w:proofErr w:type="spellEnd"/>
      <w:r>
        <w:rPr>
          <w:rFonts w:eastAsiaTheme="minorEastAsia"/>
        </w:rPr>
        <w:t>=2.469</w:t>
      </w:r>
      <w:r w:rsidR="005E2D82">
        <w:rPr>
          <w:rFonts w:eastAsiaTheme="minorEastAsia"/>
        </w:rPr>
        <w:t>, therefore</w:t>
      </w:r>
    </w:p>
    <w:p w14:paraId="6B4AED1C" w14:textId="15513305" w:rsidR="005E2D82" w:rsidRPr="007C2632" w:rsidRDefault="00000000" w:rsidP="005E2D82">
      <w:pPr>
        <w:jc w:val="left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=2.469*162=400.</m:t>
          </m:r>
        </m:oMath>
      </m:oMathPara>
    </w:p>
    <w:p w14:paraId="064A4BCF" w14:textId="2170CF89" w:rsidR="005E2D82" w:rsidRPr="0051292F" w:rsidRDefault="00374203" w:rsidP="006861C2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This result is even closer to the expected Ka than before. </w:t>
      </w:r>
    </w:p>
    <w:sectPr w:rsidR="005E2D82" w:rsidRPr="0051292F" w:rsidSect="00A51723">
      <w:head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73A4D" w14:textId="77777777" w:rsidR="00D83718" w:rsidRDefault="00D83718" w:rsidP="00DD1287">
      <w:pPr>
        <w:spacing w:after="0" w:line="240" w:lineRule="auto"/>
      </w:pPr>
      <w:r>
        <w:separator/>
      </w:r>
    </w:p>
  </w:endnote>
  <w:endnote w:type="continuationSeparator" w:id="0">
    <w:p w14:paraId="19519E7B" w14:textId="77777777" w:rsidR="00D83718" w:rsidRDefault="00D83718" w:rsidP="00DD1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036FD" w14:textId="77777777" w:rsidR="00D83718" w:rsidRDefault="00D83718" w:rsidP="00DD1287">
      <w:pPr>
        <w:spacing w:after="0" w:line="240" w:lineRule="auto"/>
      </w:pPr>
      <w:r>
        <w:separator/>
      </w:r>
    </w:p>
  </w:footnote>
  <w:footnote w:type="continuationSeparator" w:id="0">
    <w:p w14:paraId="497487CE" w14:textId="77777777" w:rsidR="00D83718" w:rsidRDefault="00D83718" w:rsidP="00DD1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09952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0E198B" w14:textId="3BC0C627" w:rsidR="00DD1287" w:rsidRDefault="00DD128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CE41B6" w14:textId="77777777" w:rsidR="00DD1287" w:rsidRDefault="00DD12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03"/>
    <w:rsid w:val="00031E47"/>
    <w:rsid w:val="00171C96"/>
    <w:rsid w:val="00174ED1"/>
    <w:rsid w:val="001B7E63"/>
    <w:rsid w:val="00315F2B"/>
    <w:rsid w:val="003324F4"/>
    <w:rsid w:val="00355F44"/>
    <w:rsid w:val="00374203"/>
    <w:rsid w:val="004C371C"/>
    <w:rsid w:val="004D03CA"/>
    <w:rsid w:val="004E7DB4"/>
    <w:rsid w:val="0051292F"/>
    <w:rsid w:val="0052701E"/>
    <w:rsid w:val="005C75C8"/>
    <w:rsid w:val="005E2D82"/>
    <w:rsid w:val="006861C2"/>
    <w:rsid w:val="007C2632"/>
    <w:rsid w:val="00842552"/>
    <w:rsid w:val="00887C37"/>
    <w:rsid w:val="00903DC2"/>
    <w:rsid w:val="009060E2"/>
    <w:rsid w:val="009616AE"/>
    <w:rsid w:val="009924ED"/>
    <w:rsid w:val="009D77D4"/>
    <w:rsid w:val="00A327E8"/>
    <w:rsid w:val="00A51723"/>
    <w:rsid w:val="00BD1FBA"/>
    <w:rsid w:val="00D16103"/>
    <w:rsid w:val="00D83718"/>
    <w:rsid w:val="00D92A3D"/>
    <w:rsid w:val="00DD1287"/>
    <w:rsid w:val="00DD3C95"/>
    <w:rsid w:val="00E03B6E"/>
    <w:rsid w:val="00E56D9D"/>
    <w:rsid w:val="00FB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BE3C"/>
  <w15:chartTrackingRefBased/>
  <w15:docId w15:val="{8EBF7A1A-E14E-46E3-BF35-626B30AB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7E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327E8"/>
    <w:rPr>
      <w:rFonts w:ascii="Times New Roman" w:hAnsi="Times New Roman"/>
      <w:i w:val="0"/>
      <w:iCs/>
      <w:color w:val="auto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27E8"/>
    <w:rPr>
      <w:rFonts w:eastAsiaTheme="majorEastAsia" w:cstheme="majorBidi"/>
      <w:b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9924ED"/>
    <w:rPr>
      <w:rFonts w:ascii="Times New Roman" w:hAnsi="Times New Roman"/>
      <w:i w:val="0"/>
      <w:iCs/>
      <w:color w:val="auto"/>
      <w:sz w:val="22"/>
    </w:rPr>
  </w:style>
  <w:style w:type="character" w:styleId="PlaceholderText">
    <w:name w:val="Placeholder Text"/>
    <w:basedOn w:val="DefaultParagraphFont"/>
    <w:uiPriority w:val="99"/>
    <w:semiHidden/>
    <w:rsid w:val="00D1610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D1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287"/>
  </w:style>
  <w:style w:type="paragraph" w:styleId="Footer">
    <w:name w:val="footer"/>
    <w:basedOn w:val="Normal"/>
    <w:link w:val="FooterChar"/>
    <w:uiPriority w:val="99"/>
    <w:unhideWhenUsed/>
    <w:rsid w:val="00DD1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287"/>
  </w:style>
  <w:style w:type="paragraph" w:styleId="Caption">
    <w:name w:val="caption"/>
    <w:basedOn w:val="Normal"/>
    <w:next w:val="Normal"/>
    <w:uiPriority w:val="35"/>
    <w:unhideWhenUsed/>
    <w:qFormat/>
    <w:rsid w:val="001B7E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ha\repos\Courses-Fall2022\PChemLab\5%20-%20Thiocyanate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ha\repos\Courses-Fall2022\PChemLab\5%20-%20Thiocyanate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829542869641295"/>
                  <c:y val="-3.6315616797900262E-2"/>
                </c:manualLayout>
              </c:layout>
              <c:numFmt formatCode="0.00000E+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Sheet1!$F$3:$F$12</c:f>
              <c:numCache>
                <c:formatCode>0.00E+00</c:formatCode>
                <c:ptCount val="10"/>
                <c:pt idx="0">
                  <c:v>1.1881188118811881E-3</c:v>
                </c:pt>
                <c:pt idx="1">
                  <c:v>2.1568627450980391E-3</c:v>
                </c:pt>
                <c:pt idx="2">
                  <c:v>3.1067961165048546E-3</c:v>
                </c:pt>
                <c:pt idx="3">
                  <c:v>4.0384615384615385E-3</c:v>
                </c:pt>
                <c:pt idx="4">
                  <c:v>4.952380952380952E-3</c:v>
                </c:pt>
                <c:pt idx="5">
                  <c:v>5.8490566037735841E-3</c:v>
                </c:pt>
                <c:pt idx="6">
                  <c:v>6.7289719626168224E-3</c:v>
                </c:pt>
                <c:pt idx="7">
                  <c:v>7.5925925925925918E-3</c:v>
                </c:pt>
                <c:pt idx="8">
                  <c:v>8.4403669724770654E-3</c:v>
                </c:pt>
                <c:pt idx="9">
                  <c:v>9.2727272727272745E-3</c:v>
                </c:pt>
              </c:numCache>
            </c:numRef>
          </c:xVal>
          <c:yVal>
            <c:numRef>
              <c:f>Sheet1!$G$3:$G$12</c:f>
              <c:numCache>
                <c:formatCode>0.00E+00</c:formatCode>
                <c:ptCount val="10"/>
                <c:pt idx="0">
                  <c:v>1.054081773555829E-6</c:v>
                </c:pt>
                <c:pt idx="1">
                  <c:v>2.4333386866784437E-6</c:v>
                </c:pt>
                <c:pt idx="2">
                  <c:v>3.3664139611919798E-6</c:v>
                </c:pt>
                <c:pt idx="3">
                  <c:v>3.3773742941287725E-6</c:v>
                </c:pt>
                <c:pt idx="4">
                  <c:v>3.9957245747050653E-6</c:v>
                </c:pt>
                <c:pt idx="5">
                  <c:v>3.9999840000639986E-6</c:v>
                </c:pt>
                <c:pt idx="6">
                  <c:v>4.7766180452441262E-6</c:v>
                </c:pt>
                <c:pt idx="7">
                  <c:v>4.2866941015089157E-6</c:v>
                </c:pt>
                <c:pt idx="8">
                  <c:v>4.4428855949554492E-6</c:v>
                </c:pt>
                <c:pt idx="9">
                  <c:v>3.4579342300909441E-6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CB0-4A67-BEAC-BFDCBC3E19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0559120"/>
        <c:axId val="670559536"/>
      </c:scatterChart>
      <c:valAx>
        <c:axId val="670559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Cf + Cs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70559536"/>
        <c:crosses val="autoZero"/>
        <c:crossBetween val="midCat"/>
      </c:valAx>
      <c:valAx>
        <c:axId val="67055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Cf×Cs/A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70559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Sheet1!$N$2:$N$12</c:f>
              <c:numCache>
                <c:formatCode>0.00E+00</c:formatCode>
                <c:ptCount val="11"/>
                <c:pt idx="0">
                  <c:v>0.5168339999999999</c:v>
                </c:pt>
                <c:pt idx="1">
                  <c:v>0.51617973362358471</c:v>
                </c:pt>
                <c:pt idx="2">
                  <c:v>0.51555853327994572</c:v>
                </c:pt>
                <c:pt idx="3">
                  <c:v>0.51496274848155832</c:v>
                </c:pt>
                <c:pt idx="4">
                  <c:v>0.51438767477457081</c:v>
                </c:pt>
                <c:pt idx="5">
                  <c:v>0.51383021853199284</c:v>
                </c:pt>
                <c:pt idx="6">
                  <c:v>0.51328822962171206</c:v>
                </c:pt>
                <c:pt idx="7">
                  <c:v>0.51276014207459519</c:v>
                </c:pt>
                <c:pt idx="8">
                  <c:v>0.51224476866063284</c:v>
                </c:pt>
                <c:pt idx="9">
                  <c:v>0.51174117751519199</c:v>
                </c:pt>
                <c:pt idx="10">
                  <c:v>0.51124861490717122</c:v>
                </c:pt>
              </c:numCache>
            </c:numRef>
          </c:xVal>
          <c:yVal>
            <c:numRef>
              <c:f>Sheet1!$R$2:$R$12</c:f>
              <c:numCache>
                <c:formatCode>0.000</c:formatCode>
                <c:ptCount val="11"/>
                <c:pt idx="0">
                  <c:v>2.2339494908391297</c:v>
                </c:pt>
                <c:pt idx="1">
                  <c:v>2.2342373008270084</c:v>
                </c:pt>
                <c:pt idx="2">
                  <c:v>2.2345094663455609</c:v>
                </c:pt>
                <c:pt idx="3">
                  <c:v>2.2347694884385789</c:v>
                </c:pt>
                <c:pt idx="4">
                  <c:v>2.2350195329019309</c:v>
                </c:pt>
                <c:pt idx="5">
                  <c:v>2.2352610350790059</c:v>
                </c:pt>
                <c:pt idx="6">
                  <c:v>2.235495001923502</c:v>
                </c:pt>
                <c:pt idx="7">
                  <c:v>2.2357221745861993</c:v>
                </c:pt>
                <c:pt idx="8">
                  <c:v>2.235943121356271</c:v>
                </c:pt>
                <c:pt idx="9">
                  <c:v>2.2361582934942614</c:v>
                </c:pt>
                <c:pt idx="10">
                  <c:v>2.2363680602049247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CF9-456B-ADD6-934FE65600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0156624"/>
        <c:axId val="480160368"/>
      </c:scatterChart>
      <c:valAx>
        <c:axId val="480156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Ionic Strength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80160368"/>
        <c:crosses val="autoZero"/>
        <c:crossBetween val="midCat"/>
      </c:valAx>
      <c:valAx>
        <c:axId val="480160368"/>
        <c:scaling>
          <c:orientation val="minMax"/>
          <c:min val="2.233000000000000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K</a:t>
                </a:r>
                <a:r>
                  <a:rPr lang="el-GR"/>
                  <a:t>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80156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53ECA-9C68-4F9D-BBC9-5C44D83FA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Gillispie</dc:creator>
  <cp:keywords/>
  <dc:description/>
  <cp:lastModifiedBy>Nathan Gillispie</cp:lastModifiedBy>
  <cp:revision>21</cp:revision>
  <cp:lastPrinted>2022-11-17T05:20:00Z</cp:lastPrinted>
  <dcterms:created xsi:type="dcterms:W3CDTF">2022-11-17T04:07:00Z</dcterms:created>
  <dcterms:modified xsi:type="dcterms:W3CDTF">2022-11-17T05:21:00Z</dcterms:modified>
</cp:coreProperties>
</file>