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4793" w14:textId="77777777" w:rsidR="00416DAA" w:rsidRPr="00DE14DC" w:rsidRDefault="00416DAA" w:rsidP="00F56F12">
      <w:pPr>
        <w:pStyle w:val="Subtitle"/>
        <w:jc w:val="center"/>
        <w:rPr>
          <w:color w:val="auto"/>
        </w:rPr>
      </w:pPr>
      <w:r w:rsidRPr="00DE14DC">
        <w:rPr>
          <w:color w:val="auto"/>
        </w:rPr>
        <w:t>Internal Energy of Smarties and their Nutritional Counterpart</w:t>
      </w:r>
    </w:p>
    <w:p w14:paraId="3492A6C6" w14:textId="77777777" w:rsidR="00416DAA" w:rsidRDefault="00416DAA" w:rsidP="00F56F12">
      <w:pPr>
        <w:jc w:val="center"/>
      </w:pPr>
      <w:r>
        <w:t>Nathan Gillispie and the Door Table</w:t>
      </w:r>
      <w:r w:rsidR="009C55D3">
        <w:t>.</w:t>
      </w:r>
    </w:p>
    <w:p w14:paraId="7914C1A2" w14:textId="77777777" w:rsidR="009C55D3" w:rsidRPr="00416DAA" w:rsidRDefault="009C55D3" w:rsidP="00F56F12">
      <w:pPr>
        <w:jc w:val="center"/>
      </w:pPr>
      <w:r>
        <w:t>Experiment date: September 21, 2022</w:t>
      </w:r>
    </w:p>
    <w:p w14:paraId="2C555D89" w14:textId="77777777" w:rsidR="000E4FB2" w:rsidRDefault="00726F23" w:rsidP="00F56F12">
      <w:pPr>
        <w:pStyle w:val="Heading1"/>
        <w:spacing w:line="360" w:lineRule="auto"/>
        <w:jc w:val="both"/>
      </w:pPr>
      <w:r>
        <w:t>Introduction</w:t>
      </w:r>
    </w:p>
    <w:p w14:paraId="61F22A02" w14:textId="77777777" w:rsidR="00726F23" w:rsidRDefault="00726F23" w:rsidP="00741270">
      <w:pPr>
        <w:spacing w:after="0" w:line="360" w:lineRule="auto"/>
        <w:ind w:firstLine="720"/>
        <w:jc w:val="both"/>
      </w:pPr>
      <w:r>
        <w:t xml:space="preserve">Ultimately, we want to determine the heat capacity of a bomb calorimeter so we can determine the energy of the combustion of Smarties candy. </w:t>
      </w:r>
      <w:r w:rsidR="00080FFF">
        <w:t xml:space="preserve">The heat capacity of calorimeter is determined </w:t>
      </w:r>
      <w:r w:rsidR="003D14E8">
        <w:t>by combusting a benzoic acid standard</w:t>
      </w:r>
      <w:r w:rsidR="00F56F12">
        <w:t xml:space="preserve"> and comparing the rise in temperature to the enthalpy of combustion of benzoic acid using the following equation:</w:t>
      </w:r>
    </w:p>
    <w:tbl>
      <w:tblPr>
        <w:tblStyle w:val="TableGrid"/>
        <w:tblW w:w="8212" w:type="dxa"/>
        <w:tblInd w:w="1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2"/>
        <w:gridCol w:w="1890"/>
      </w:tblGrid>
      <w:tr w:rsidR="00AA2CC4" w14:paraId="12A7211C" w14:textId="77777777" w:rsidTr="00275D19">
        <w:tc>
          <w:tcPr>
            <w:tcW w:w="6322" w:type="dxa"/>
          </w:tcPr>
          <w:p w14:paraId="6A9DDE3B" w14:textId="6D57F4AE" w:rsidR="00AA2CC4" w:rsidRPr="00623AA4" w:rsidRDefault="00000000" w:rsidP="00623AA4">
            <w:pPr>
              <w:keepNext/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sur</m:t>
                    </m:r>
                  </m:sub>
                </m:sSub>
                <m:r>
                  <w:rPr>
                    <w:rFonts w:ascii="Cambria Math" w:hAnsi="Cambria Math"/>
                  </w:rPr>
                  <m:t>/∆T</m:t>
                </m:r>
              </m:oMath>
            </m:oMathPara>
          </w:p>
        </w:tc>
        <w:tc>
          <w:tcPr>
            <w:tcW w:w="1890" w:type="dxa"/>
          </w:tcPr>
          <w:p w14:paraId="45636F06" w14:textId="77777777" w:rsidR="00AA2CC4" w:rsidRDefault="00AA2CC4" w:rsidP="00AA2CC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(1)</w:t>
            </w:r>
          </w:p>
        </w:tc>
      </w:tr>
    </w:tbl>
    <w:p w14:paraId="30ADE02D" w14:textId="77777777" w:rsidR="00741270" w:rsidRDefault="00741270" w:rsidP="0029760E">
      <w:pPr>
        <w:spacing w:after="0" w:line="360" w:lineRule="auto"/>
        <w:jc w:val="both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 xml:space="preserve"> is the change in temperature measured in the water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</m:oMath>
      <w:r>
        <w:rPr>
          <w:rFonts w:eastAsiaTheme="minorEastAsia"/>
        </w:rPr>
        <w:t xml:space="preserve"> is the heat transferred to the water. This value is calculated using the following equation:</w:t>
      </w:r>
    </w:p>
    <w:tbl>
      <w:tblPr>
        <w:tblStyle w:val="TableGrid"/>
        <w:tblW w:w="8796" w:type="dxa"/>
        <w:tblInd w:w="1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6"/>
        <w:gridCol w:w="1350"/>
      </w:tblGrid>
      <w:tr w:rsidR="00741270" w14:paraId="317F5F0C" w14:textId="77777777" w:rsidTr="00275D19">
        <w:tc>
          <w:tcPr>
            <w:tcW w:w="7446" w:type="dxa"/>
          </w:tcPr>
          <w:p w14:paraId="0F7668D2" w14:textId="6252AF78" w:rsidR="00741270" w:rsidRPr="00B45742" w:rsidRDefault="00741270" w:rsidP="00623AA4">
            <w:pPr>
              <w:keepNext/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∆H=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v,sys</m:t>
                    </m:r>
                  </m:sub>
                </m:sSub>
                <m:r>
                  <w:rPr>
                    <w:rFonts w:ascii="Cambria Math" w:hAnsi="Cambria Math"/>
                  </w:rPr>
                  <m:t>+RT∆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350" w:type="dxa"/>
          </w:tcPr>
          <w:p w14:paraId="4CA00227" w14:textId="77777777" w:rsidR="00741270" w:rsidRDefault="00741270" w:rsidP="0005428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29760E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7E6E10C5" w14:textId="77777777" w:rsidR="00741270" w:rsidRDefault="00275D19" w:rsidP="00F56F1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29760E">
        <w:rPr>
          <w:rFonts w:eastAsiaTheme="minorEastAsia"/>
        </w:rPr>
        <w:t>here</w:t>
      </w:r>
      <w:r>
        <w:rPr>
          <w:rFonts w:eastAsiaTheme="minorEastAsia"/>
        </w:rPr>
        <w:t xml:space="preserve"> change in enthalpy is calculated using enthalpies of formation of each of the relevant compounds in the combustion of benzoic acid.</w:t>
      </w:r>
      <w:r w:rsidR="00DD4D01">
        <w:rPr>
          <w:rFonts w:eastAsiaTheme="minorEastAsia"/>
        </w:rPr>
        <w:t xml:space="preserve"> This works due to the definition of enthalpy and since we are using a bomb calorimeter which results in a constant volume process</w:t>
      </w:r>
      <w:r w:rsidR="00CE14D0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∆U=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v,sys</m:t>
            </m:r>
          </m:sub>
        </m:sSub>
      </m:oMath>
      <w:r w:rsidR="00CE14D0">
        <w:rPr>
          <w:rFonts w:eastAsiaTheme="minorEastAsia"/>
        </w:rPr>
        <w:t>).</w:t>
      </w:r>
      <w:r w:rsidR="00080E18">
        <w:rPr>
          <w:rFonts w:eastAsiaTheme="minorEastAsia"/>
        </w:rPr>
        <w:t xml:space="preserve"> The </w:t>
      </w:r>
      <m:oMath>
        <m:r>
          <w:rPr>
            <w:rFonts w:ascii="Cambria Math" w:hAnsi="Cambria Math"/>
          </w:rPr>
          <m:t>RT∆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080E18">
        <w:rPr>
          <w:rFonts w:eastAsiaTheme="minorEastAsia"/>
        </w:rPr>
        <w:t xml:space="preserve"> term becomes </w:t>
      </w:r>
      <m:oMath>
        <m:r>
          <w:rPr>
            <w:rFonts w:ascii="Cambria Math" w:hAnsi="Cambria Math"/>
          </w:rPr>
          <m:t>1.24kJ</m:t>
        </m:r>
      </m:oMath>
      <w:r w:rsidR="00080E18">
        <w:rPr>
          <w:rFonts w:eastAsiaTheme="minorEastAsia"/>
        </w:rPr>
        <w:t xml:space="preserve"> which is less than 5%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v,sys</m:t>
            </m:r>
          </m:sub>
        </m:sSub>
      </m:oMath>
      <w:r w:rsidR="00080E18">
        <w:rPr>
          <w:rFonts w:eastAsiaTheme="minorEastAsia"/>
        </w:rPr>
        <w:t xml:space="preserve">. In general, we find that </w:t>
      </w:r>
      <m:oMath>
        <m:r>
          <w:rPr>
            <w:rFonts w:ascii="Cambria Math" w:hAnsi="Cambria Math"/>
          </w:rPr>
          <m:t>∆U≈∆H</m:t>
        </m:r>
      </m:oMath>
      <w:r w:rsidR="00080E18">
        <w:rPr>
          <w:rFonts w:eastAsiaTheme="minorEastAsia"/>
        </w:rPr>
        <w:t xml:space="preserve"> for most processes</w:t>
      </w:r>
      <w:r w:rsidR="00137100">
        <w:rPr>
          <w:rFonts w:eastAsiaTheme="minorEastAsia"/>
        </w:rPr>
        <w:t xml:space="preserve"> due to this term</w:t>
      </w:r>
      <w:r w:rsidR="00080E18">
        <w:rPr>
          <w:rFonts w:eastAsiaTheme="minorEastAsia"/>
        </w:rPr>
        <w:t>.</w:t>
      </w:r>
    </w:p>
    <w:p w14:paraId="5F86455C" w14:textId="77777777" w:rsidR="00DE14DC" w:rsidRPr="00DE14DC" w:rsidRDefault="00090002" w:rsidP="00BC5B02">
      <w:pPr>
        <w:pStyle w:val="Heading1"/>
        <w:spacing w:after="240"/>
      </w:pPr>
      <w:r>
        <w:t>Data</w:t>
      </w:r>
    </w:p>
    <w:p w14:paraId="7EED4C3B" w14:textId="5D441471" w:rsidR="001B284C" w:rsidRDefault="001B284C" w:rsidP="001B284C">
      <w:pPr>
        <w:pStyle w:val="Caption"/>
        <w:keepNext/>
        <w:jc w:val="center"/>
      </w:pPr>
      <w:r w:rsidRPr="001B284C">
        <w:rPr>
          <w:b/>
          <w:bCs/>
        </w:rPr>
        <w:t xml:space="preserve">Table </w:t>
      </w:r>
      <w:r w:rsidRPr="001B284C">
        <w:rPr>
          <w:b/>
          <w:bCs/>
        </w:rPr>
        <w:fldChar w:fldCharType="begin"/>
      </w:r>
      <w:r w:rsidRPr="001B284C">
        <w:rPr>
          <w:b/>
          <w:bCs/>
        </w:rPr>
        <w:instrText xml:space="preserve"> SEQ Table \* ARABIC </w:instrText>
      </w:r>
      <w:r w:rsidRPr="001B284C">
        <w:rPr>
          <w:b/>
          <w:bCs/>
        </w:rPr>
        <w:fldChar w:fldCharType="separate"/>
      </w:r>
      <w:r w:rsidR="0020049A">
        <w:rPr>
          <w:b/>
          <w:bCs/>
          <w:noProof/>
        </w:rPr>
        <w:t>1</w:t>
      </w:r>
      <w:r w:rsidRPr="001B284C">
        <w:rPr>
          <w:b/>
          <w:bCs/>
        </w:rPr>
        <w:fldChar w:fldCharType="end"/>
      </w:r>
      <w:r w:rsidRPr="001B284C">
        <w:rPr>
          <w:b/>
          <w:bCs/>
        </w:rPr>
        <w:t>:</w:t>
      </w:r>
      <w:r>
        <w:t xml:space="preserve"> Measured values of standard and smarties including calculated energy of combustion.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40DDF" w14:paraId="5520CBDF" w14:textId="77777777" w:rsidTr="00140DDF">
        <w:tc>
          <w:tcPr>
            <w:tcW w:w="2517" w:type="dxa"/>
          </w:tcPr>
          <w:p w14:paraId="3D1FB490" w14:textId="77777777" w:rsidR="00140DDF" w:rsidRDefault="00140DDF" w:rsidP="00090002">
            <w:pPr>
              <w:spacing w:line="360" w:lineRule="auto"/>
              <w:jc w:val="both"/>
            </w:pPr>
          </w:p>
        </w:tc>
        <w:tc>
          <w:tcPr>
            <w:tcW w:w="2517" w:type="dxa"/>
          </w:tcPr>
          <w:p w14:paraId="045EBF80" w14:textId="77777777" w:rsidR="00140DDF" w:rsidRDefault="00140DDF" w:rsidP="00A7390D">
            <w:pPr>
              <w:spacing w:line="360" w:lineRule="auto"/>
              <w:jc w:val="center"/>
            </w:pPr>
            <w:r>
              <w:t>Mass of sample (g)</w:t>
            </w:r>
          </w:p>
        </w:tc>
        <w:tc>
          <w:tcPr>
            <w:tcW w:w="2518" w:type="dxa"/>
          </w:tcPr>
          <w:p w14:paraId="41E5340B" w14:textId="77777777" w:rsidR="00140DDF" w:rsidRDefault="00140DDF" w:rsidP="00140DDF">
            <w:pPr>
              <w:keepNext/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∆T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518" w:type="dxa"/>
          </w:tcPr>
          <w:p w14:paraId="110A59B9" w14:textId="77777777" w:rsidR="00140DDF" w:rsidRDefault="00140DDF" w:rsidP="00090002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∆U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kJ</m:t>
                    </m:r>
                  </m:e>
                </m:d>
              </m:oMath>
            </m:oMathPara>
          </w:p>
        </w:tc>
      </w:tr>
      <w:tr w:rsidR="00E82B59" w14:paraId="4531534B" w14:textId="77777777" w:rsidTr="00C62767">
        <w:tc>
          <w:tcPr>
            <w:tcW w:w="2517" w:type="dxa"/>
          </w:tcPr>
          <w:p w14:paraId="663A16A8" w14:textId="77777777" w:rsidR="00E82B59" w:rsidRDefault="00E82B59" w:rsidP="00E82B59">
            <w:pPr>
              <w:spacing w:line="360" w:lineRule="auto"/>
              <w:jc w:val="both"/>
            </w:pPr>
            <w:r>
              <w:t>Benzoic acid standard</w:t>
            </w:r>
          </w:p>
        </w:tc>
        <w:tc>
          <w:tcPr>
            <w:tcW w:w="2517" w:type="dxa"/>
            <w:vAlign w:val="center"/>
          </w:tcPr>
          <w:p w14:paraId="5D841368" w14:textId="517B44AE" w:rsidR="00E82B59" w:rsidRPr="00C62767" w:rsidRDefault="00E82B59" w:rsidP="00C62767">
            <w:pPr>
              <w:keepNext/>
              <w:spacing w:line="36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1.000±0.0005</m:t>
                </m:r>
              </m:oMath>
            </m:oMathPara>
          </w:p>
        </w:tc>
        <w:tc>
          <w:tcPr>
            <w:tcW w:w="2518" w:type="dxa"/>
            <w:vAlign w:val="center"/>
          </w:tcPr>
          <w:p w14:paraId="2EE95799" w14:textId="77777777" w:rsidR="00E82B59" w:rsidRPr="00C62767" w:rsidRDefault="00E82B59" w:rsidP="00C62767">
            <w:pPr>
              <w:spacing w:line="36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2.582±0.0005</m:t>
                </m:r>
              </m:oMath>
            </m:oMathPara>
          </w:p>
        </w:tc>
        <w:tc>
          <w:tcPr>
            <w:tcW w:w="2518" w:type="dxa"/>
            <w:vAlign w:val="center"/>
          </w:tcPr>
          <w:p w14:paraId="48D241C1" w14:textId="31F2D2EA" w:rsidR="00E82B59" w:rsidRPr="00C62767" w:rsidRDefault="00721887" w:rsidP="00C62767">
            <w:pPr>
              <w:spacing w:line="360" w:lineRule="auto"/>
              <w:jc w:val="center"/>
              <w:rPr>
                <w:rFonts w:cstheme="minorHAnsi"/>
              </w:rPr>
            </w:pPr>
            <w:r w:rsidRPr="00C62767">
              <w:rPr>
                <w:rFonts w:cstheme="minorHAnsi"/>
              </w:rPr>
              <w:t>6.9±0.1</w:t>
            </w:r>
          </w:p>
        </w:tc>
      </w:tr>
      <w:tr w:rsidR="00E82B59" w14:paraId="4B1B2173" w14:textId="77777777" w:rsidTr="00C62767">
        <w:tc>
          <w:tcPr>
            <w:tcW w:w="2517" w:type="dxa"/>
          </w:tcPr>
          <w:p w14:paraId="10553758" w14:textId="77777777" w:rsidR="00E82B59" w:rsidRDefault="00E82B59" w:rsidP="00E82B59">
            <w:pPr>
              <w:spacing w:line="360" w:lineRule="auto"/>
              <w:jc w:val="both"/>
            </w:pPr>
            <w:r>
              <w:t>Smarties candy</w:t>
            </w:r>
          </w:p>
        </w:tc>
        <w:tc>
          <w:tcPr>
            <w:tcW w:w="2517" w:type="dxa"/>
            <w:vAlign w:val="center"/>
          </w:tcPr>
          <w:p w14:paraId="3038EF4E" w14:textId="77777777" w:rsidR="00E82B59" w:rsidRPr="00C62767" w:rsidRDefault="00E82B59" w:rsidP="00C62767">
            <w:pPr>
              <w:spacing w:line="36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0.488±0.0005</m:t>
                </m:r>
              </m:oMath>
            </m:oMathPara>
          </w:p>
        </w:tc>
        <w:tc>
          <w:tcPr>
            <w:tcW w:w="2518" w:type="dxa"/>
            <w:vAlign w:val="center"/>
          </w:tcPr>
          <w:p w14:paraId="13414FFE" w14:textId="77777777" w:rsidR="00E82B59" w:rsidRPr="00C62767" w:rsidRDefault="00E82B59" w:rsidP="00C62767">
            <w:pPr>
              <w:spacing w:line="36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0.675±0.0005</m:t>
                </m:r>
              </m:oMath>
            </m:oMathPara>
          </w:p>
        </w:tc>
        <w:tc>
          <w:tcPr>
            <w:tcW w:w="2518" w:type="dxa"/>
            <w:vAlign w:val="center"/>
          </w:tcPr>
          <w:p w14:paraId="4BA66FC8" w14:textId="281502D8" w:rsidR="00E82B59" w:rsidRPr="00C62767" w:rsidRDefault="00721887" w:rsidP="00C62767">
            <w:pPr>
              <w:spacing w:line="360" w:lineRule="auto"/>
              <w:jc w:val="center"/>
              <w:rPr>
                <w:rFonts w:cstheme="minorHAnsi"/>
              </w:rPr>
            </w:pPr>
            <w:r w:rsidRPr="00C62767">
              <w:rPr>
                <w:rFonts w:cstheme="minorHAnsi"/>
              </w:rPr>
              <w:t>7.3±1.5</w:t>
            </w:r>
          </w:p>
        </w:tc>
      </w:tr>
    </w:tbl>
    <w:p w14:paraId="390D3C86" w14:textId="77777777" w:rsidR="00955127" w:rsidRDefault="00955127" w:rsidP="00BC5B02">
      <w:pPr>
        <w:pStyle w:val="Heading1"/>
        <w:spacing w:after="240"/>
      </w:pPr>
      <w:r>
        <w:t>Results and Discussion</w:t>
      </w:r>
    </w:p>
    <w:p w14:paraId="2D2B4D87" w14:textId="08588DDB" w:rsidR="00092574" w:rsidRDefault="00092574" w:rsidP="00994106">
      <w:pPr>
        <w:spacing w:line="360" w:lineRule="auto"/>
        <w:jc w:val="both"/>
      </w:pPr>
      <w:r>
        <w:t xml:space="preserve">Using </w:t>
      </w:r>
      <w:r w:rsidR="006B4241">
        <w:t xml:space="preserve">the </w:t>
      </w:r>
      <w:proofErr w:type="spellStart"/>
      <w:r w:rsidR="006B4241">
        <w:t>thermo</w:t>
      </w:r>
      <w:proofErr w:type="spellEnd"/>
      <w:r w:rsidR="006B4241">
        <w:t xml:space="preserve"> data table and equation 2,</w:t>
      </w:r>
      <w:r>
        <w:t xml:space="preserve"> we calculate the enthalpy and energy of combustion for benzoic acid</w:t>
      </w:r>
      <w:r w:rsidR="009B4BFC">
        <w:t xml:space="preserve"> to be -3226.7kJ/mol and -3225.5kJ/mol respectively</w:t>
      </w:r>
      <w:r>
        <w:t>.</w:t>
      </w:r>
      <w:r w:rsidRPr="00E23FE3">
        <w:rPr>
          <w:noProof/>
        </w:rPr>
        <w:t xml:space="preserve"> </w:t>
      </w:r>
      <w:r w:rsidRPr="00E23FE3">
        <w:rPr>
          <w:vertAlign w:val="superscript"/>
        </w:rPr>
        <w:t>[1]</w:t>
      </w:r>
      <w:r w:rsidR="009B4BFC">
        <w:rPr>
          <w:noProof/>
        </w:rPr>
        <w:t xml:space="preserve"> Calculations shown in appendix. </w:t>
      </w:r>
      <w:r>
        <w:t>Using average bond enthalpy,</w:t>
      </w:r>
      <w:r w:rsidR="00C4198E">
        <w:t xml:space="preserve"> we calculate the</w:t>
      </w:r>
      <w:r>
        <w:t xml:space="preserve"> enthalpy of combustion for benzoic acid</w:t>
      </w:r>
      <w:r w:rsidR="00C4198E">
        <w:t xml:space="preserve"> to be -3310kJ/mol</w:t>
      </w:r>
      <w:r>
        <w:t xml:space="preserve">. </w:t>
      </w:r>
      <w:r w:rsidRPr="00E23FE3">
        <w:rPr>
          <w:vertAlign w:val="superscript"/>
        </w:rPr>
        <w:t>[2]</w:t>
      </w:r>
      <w:r w:rsidR="00C4198E">
        <w:rPr>
          <w:vertAlign w:val="subscript"/>
        </w:rPr>
        <w:softHyphen/>
      </w:r>
      <w:r w:rsidR="00C4198E">
        <w:t xml:space="preserve"> This calculation is shown in the appendix.</w:t>
      </w:r>
      <w:r w:rsidR="009671BA">
        <w:t xml:space="preserve"> Here we have a typical discrepancy found between experimental and calculated enthalpies. </w:t>
      </w:r>
    </w:p>
    <w:p w14:paraId="7149F4EE" w14:textId="00C89A69" w:rsidR="00092574" w:rsidRDefault="00092574" w:rsidP="00092574">
      <w:pPr>
        <w:spacing w:line="360" w:lineRule="auto"/>
        <w:jc w:val="both"/>
      </w:pPr>
      <w:r>
        <w:t xml:space="preserve">To calculate </w:t>
      </w:r>
      <w:proofErr w:type="spellStart"/>
      <w:r w:rsidRPr="00F144DF">
        <w:t>ΔU</w:t>
      </w:r>
      <w:r w:rsidRPr="00715F51">
        <w:rPr>
          <w:vertAlign w:val="subscript"/>
        </w:rPr>
        <w:t>sur</w:t>
      </w:r>
      <w:proofErr w:type="spellEnd"/>
      <w:r>
        <w:t xml:space="preserve"> for our benzoic acid standard, we</w:t>
      </w:r>
      <w:r w:rsidR="00A14E37">
        <w:t xml:space="preserve"> begin by taking</w:t>
      </w:r>
      <w:r>
        <w:t xml:space="preserve"> the negative molar enthalpy of combustion times sample weight </w:t>
      </w:r>
      <w:r w:rsidR="00472B05">
        <w:t>divided by</w:t>
      </w:r>
      <w:r>
        <w:t xml:space="preserve"> </w:t>
      </w:r>
      <w:r w:rsidR="00B23145">
        <w:t xml:space="preserve">the </w:t>
      </w:r>
      <w:r>
        <w:t>molar mass</w:t>
      </w:r>
      <w:r w:rsidR="00B23145">
        <w:t xml:space="preserve"> of benzoic acid</w:t>
      </w:r>
      <w:r>
        <w:t>:</w:t>
      </w:r>
    </w:p>
    <w:p w14:paraId="3D4633D7" w14:textId="77777777" w:rsidR="00092574" w:rsidRPr="00715F51" w:rsidRDefault="00000000" w:rsidP="00092574">
      <w:pPr>
        <w:spacing w:line="360" w:lineRule="auto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1.000±0.0005g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1mol</m:t>
                  </m:r>
                </m:num>
                <m:den>
                  <m:r>
                    <w:rPr>
                      <w:rFonts w:ascii="Cambria Math" w:hAnsi="Cambria Math"/>
                    </w:rPr>
                    <m:t>122.12g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3225.5kJ</m:t>
                  </m:r>
                </m:num>
                <m:den>
                  <m:r>
                    <w:rPr>
                      <w:rFonts w:ascii="Cambria Math" w:hAnsi="Cambria Math"/>
                    </w:rPr>
                    <m:t>mol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26.41±0.01</m:t>
              </m:r>
            </m:e>
          </m:d>
          <m:r>
            <w:rPr>
              <w:rFonts w:ascii="Cambria Math" w:hAnsi="Cambria Math"/>
            </w:rPr>
            <m:t>kJ</m:t>
          </m:r>
        </m:oMath>
      </m:oMathPara>
    </w:p>
    <w:p w14:paraId="493F8FCE" w14:textId="71FB7C8C" w:rsidR="00092574" w:rsidRDefault="00092574" w:rsidP="00092574">
      <w:pPr>
        <w:spacing w:line="360" w:lineRule="auto"/>
        <w:jc w:val="both"/>
      </w:pPr>
      <w:r>
        <w:lastRenderedPageBreak/>
        <w:t xml:space="preserve">Error is propagated using worst-case scenario for all calculations. To calculate the calorimeter constant, we </w:t>
      </w:r>
      <w:r w:rsidR="006B4241">
        <w:t>use equation 1:</w:t>
      </w:r>
    </w:p>
    <w:p w14:paraId="267C9D5E" w14:textId="77777777" w:rsidR="00092574" w:rsidRDefault="00092574" w:rsidP="00092574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Ccal=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26.41±0.01</m:t>
                  </m:r>
                </m:e>
              </m:d>
              <m:r>
                <w:rPr>
                  <w:rFonts w:ascii="Cambria Math" w:hAnsi="Cambria Math"/>
                </w:rPr>
                <m:t>kJ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24.436±0.0005</m:t>
                  </m:r>
                </m:e>
              </m:d>
              <m:r>
                <w:rPr>
                  <w:rFonts w:ascii="Cambria Math" w:hAnsi="Cambria Math"/>
                </w:rPr>
                <m:t>°C-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21.854±0.0005</m:t>
                  </m:r>
                </m:e>
              </m:d>
              <m:r>
                <w:rPr>
                  <w:rFonts w:ascii="Cambria Math" w:hAnsi="Cambria Math"/>
                </w:rPr>
                <m:t>°C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°C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10.229±0.007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5ADD639" w14:textId="6B9DE3B2" w:rsidR="00092574" w:rsidRDefault="003C1AB7" w:rsidP="00092574">
      <w:pPr>
        <w:spacing w:line="360" w:lineRule="auto"/>
        <w:jc w:val="both"/>
      </w:pPr>
      <w:r>
        <w:t>W</w:t>
      </w:r>
      <w:r w:rsidR="00092574">
        <w:t xml:space="preserve">e can calculate the internal energy of combustion for the smarties candy given the exact same volume of liquid in the surroundings and the change in temperature. Solving for </w:t>
      </w:r>
      <w:r w:rsidR="00092574" w:rsidRPr="001614A1">
        <w:t>ΔU</w:t>
      </w:r>
      <w:r w:rsidR="00092574">
        <w:t xml:space="preserve"> </w:t>
      </w:r>
      <w:r>
        <w:t xml:space="preserve">in equation 1 </w:t>
      </w:r>
      <w:r w:rsidR="00092574">
        <w:t>and plugging in values</w:t>
      </w:r>
      <w:r w:rsidR="00E25705">
        <w:t>,</w:t>
      </w:r>
      <w:r w:rsidR="00092574">
        <w:t xml:space="preserve"> we get</w:t>
      </w:r>
    </w:p>
    <w:p w14:paraId="49000F97" w14:textId="016FAA66" w:rsidR="00092574" w:rsidRDefault="00000000" w:rsidP="00092574">
      <w:pPr>
        <w:spacing w:line="360" w:lineRule="auto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10.229±0.007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22.992±0.0005</m:t>
                  </m:r>
                </m:e>
              </m:d>
              <m:r>
                <w:rPr>
                  <w:rFonts w:ascii="Cambria Math" w:hAnsi="Cambria Math"/>
                </w:rPr>
                <m:t>°C-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22.317±0.0005</m:t>
                  </m:r>
                </m:e>
              </m:d>
              <m:r>
                <w:rPr>
                  <w:rFonts w:ascii="Cambria Math" w:hAnsi="Cambria Math"/>
                </w:rPr>
                <m:t>°C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=(6.9±0.1)kJ</m:t>
          </m:r>
        </m:oMath>
      </m:oMathPara>
    </w:p>
    <w:p w14:paraId="2262E741" w14:textId="77777777" w:rsidR="00092574" w:rsidRDefault="00092574" w:rsidP="00092574">
      <w:pPr>
        <w:spacing w:line="360" w:lineRule="auto"/>
        <w:jc w:val="both"/>
      </w:pPr>
      <w:r>
        <w:t>The back of the smarties bag gives the energy as 25kCal/7g. Since we combusted 0.488g of smarties, we can calculate the “literature value” of energy of combustion of smarties:</w:t>
      </w:r>
    </w:p>
    <w:p w14:paraId="474E6275" w14:textId="77777777" w:rsidR="00092574" w:rsidRDefault="00000000" w:rsidP="00092574">
      <w:pPr>
        <w:spacing w:line="360" w:lineRule="auto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0.488±0.0005</m:t>
              </m:r>
            </m:e>
          </m:d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(25±5)kCal</m:t>
              </m:r>
            </m:num>
            <m:den>
              <m:r>
                <w:rPr>
                  <w:rFonts w:ascii="Cambria Math" w:eastAsiaTheme="minorEastAsia" w:hAnsi="Cambria Math"/>
                </w:rPr>
                <m:t>7g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4.184kJ</m:t>
              </m:r>
            </m:num>
            <m:den>
              <m:r>
                <w:rPr>
                  <w:rFonts w:ascii="Cambria Math" w:eastAsiaTheme="minorEastAsia" w:hAnsi="Cambria Math"/>
                </w:rPr>
                <m:t>1kCal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7.3±1.5</m:t>
              </m:r>
            </m:e>
          </m:d>
          <m:r>
            <w:rPr>
              <w:rFonts w:ascii="Cambria Math" w:eastAsiaTheme="minorEastAsia" w:hAnsi="Cambria Math"/>
            </w:rPr>
            <m:t>kJ</m:t>
          </m:r>
        </m:oMath>
      </m:oMathPara>
    </w:p>
    <w:p w14:paraId="25240509" w14:textId="77777777" w:rsidR="00092574" w:rsidRDefault="00092574" w:rsidP="00092574">
      <w:pPr>
        <w:spacing w:line="360" w:lineRule="auto"/>
        <w:jc w:val="both"/>
      </w:pPr>
      <w:r>
        <w:t>We can compare both results using the difference method:</w:t>
      </w:r>
    </w:p>
    <w:p w14:paraId="71E1FEA3" w14:textId="77777777" w:rsidR="00092574" w:rsidRPr="003A4CE0" w:rsidRDefault="00000000" w:rsidP="00092574">
      <w:pPr>
        <w:spacing w:line="360" w:lineRule="auto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7.3-6.9</m:t>
                  </m:r>
                </m:e>
              </m: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kJ=(0.387±1.5)kJ</m:t>
          </m:r>
        </m:oMath>
      </m:oMathPara>
    </w:p>
    <w:p w14:paraId="4BD7A982" w14:textId="29D6B710" w:rsidR="00955127" w:rsidRPr="00955127" w:rsidRDefault="00092574" w:rsidP="00092574">
      <w:pPr>
        <w:spacing w:line="360" w:lineRule="auto"/>
        <w:jc w:val="both"/>
      </w:pPr>
      <w:r>
        <w:rPr>
          <w:rFonts w:eastAsiaTheme="minorEastAsia"/>
        </w:rPr>
        <w:t xml:space="preserve">Since 0 falls within the calculated range at the end we can conclude the literature value of energy of smarties agrees with our value. </w:t>
      </w:r>
    </w:p>
    <w:p w14:paraId="2B8ECF59" w14:textId="13809ED8" w:rsidR="00DE14DC" w:rsidRDefault="00D95FC1" w:rsidP="00BC5B02">
      <w:pPr>
        <w:pStyle w:val="Heading1"/>
        <w:spacing w:after="240"/>
      </w:pPr>
      <w:r>
        <w:t xml:space="preserve">Safety and </w:t>
      </w:r>
      <w:r w:rsidR="00BE3D42">
        <w:t>References</w:t>
      </w:r>
    </w:p>
    <w:p w14:paraId="485A935E" w14:textId="775353B2" w:rsidR="00D95FC1" w:rsidRPr="00D95FC1" w:rsidRDefault="00D95FC1" w:rsidP="00D95FC1">
      <w:r>
        <w:t>A bomb calorimeter involves inherently dangerous pressures. When disassembling anything under pressure, make sure pressures are equilibrated.</w:t>
      </w:r>
      <w:r w:rsidR="003E66A9">
        <w:t xml:space="preserve"> </w:t>
      </w:r>
    </w:p>
    <w:p w14:paraId="20B54B1F" w14:textId="77777777" w:rsidR="00BE3D42" w:rsidRDefault="00BE3D42" w:rsidP="00BE3D42">
      <w:r>
        <w:t xml:space="preserve">1. Engel, T; Reid, P. </w:t>
      </w:r>
      <w:r w:rsidRPr="00BE3D42">
        <w:rPr>
          <w:i/>
        </w:rPr>
        <w:t>Physical Chemistry: Thermodynamics, Statistical Thermodynamics, and Kinetics</w:t>
      </w:r>
      <w:r>
        <w:t>, 4th Ed.; Pearson Education: Glenview, IL, 2019;</w:t>
      </w:r>
      <w:r w:rsidR="009B413C">
        <w:t xml:space="preserve"> pp. </w:t>
      </w:r>
      <w:r w:rsidR="00DD52D3">
        <w:t>630-635</w:t>
      </w:r>
    </w:p>
    <w:p w14:paraId="660FAA2B" w14:textId="661D9C60" w:rsidR="0076451A" w:rsidRPr="00BE3D42" w:rsidRDefault="0076451A" w:rsidP="0076451A">
      <w:r>
        <w:t>2.</w:t>
      </w:r>
      <w:r w:rsidR="003D4712">
        <w:t xml:space="preserve"> </w:t>
      </w:r>
      <w:r>
        <w:t xml:space="preserve">Engel, T; Reid, P. </w:t>
      </w:r>
      <w:r w:rsidRPr="00BE3D42">
        <w:rPr>
          <w:i/>
        </w:rPr>
        <w:t>Physical Chemistry: Thermodynamics, Statistical Thermodynamics, and Kinetics</w:t>
      </w:r>
      <w:r>
        <w:t>, 4th Ed.; Pearson Education: Glenview, IL, 2019; p. 93</w:t>
      </w:r>
    </w:p>
    <w:p w14:paraId="02001F86" w14:textId="5C3FC840" w:rsidR="0076451A" w:rsidRDefault="009B4BFC" w:rsidP="009B4BFC">
      <w:pPr>
        <w:pStyle w:val="Heading1"/>
      </w:pPr>
      <w:r>
        <w:lastRenderedPageBreak/>
        <w:t>Appendix</w:t>
      </w:r>
    </w:p>
    <w:p w14:paraId="3E1AA2F9" w14:textId="77777777" w:rsidR="009B4BFC" w:rsidRDefault="009B4BFC" w:rsidP="009B4BFC">
      <w:pPr>
        <w:keepNext/>
        <w:jc w:val="center"/>
      </w:pPr>
      <w:r>
        <w:rPr>
          <w:noProof/>
        </w:rPr>
        <w:drawing>
          <wp:inline distT="0" distB="0" distL="0" distR="0" wp14:anchorId="7635E270" wp14:editId="0C3CDE79">
            <wp:extent cx="3838755" cy="197826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88" cy="197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29E0" w14:textId="4500C153" w:rsidR="009B4BFC" w:rsidRDefault="009B4BFC" w:rsidP="009B4BFC">
      <w:pPr>
        <w:pStyle w:val="Caption"/>
        <w:jc w:val="center"/>
      </w:pPr>
      <w:r w:rsidRPr="009B4BFC">
        <w:rPr>
          <w:b/>
          <w:bCs/>
        </w:rPr>
        <w:t xml:space="preserve">Figure </w:t>
      </w:r>
      <w:r w:rsidRPr="009B4BFC">
        <w:rPr>
          <w:b/>
          <w:bCs/>
        </w:rPr>
        <w:fldChar w:fldCharType="begin"/>
      </w:r>
      <w:r w:rsidRPr="009B4BFC">
        <w:rPr>
          <w:b/>
          <w:bCs/>
        </w:rPr>
        <w:instrText xml:space="preserve"> SEQ Figure \* ARABIC </w:instrText>
      </w:r>
      <w:r w:rsidRPr="009B4BFC">
        <w:rPr>
          <w:b/>
          <w:bCs/>
        </w:rPr>
        <w:fldChar w:fldCharType="separate"/>
      </w:r>
      <w:r w:rsidR="0020049A">
        <w:rPr>
          <w:b/>
          <w:bCs/>
          <w:noProof/>
        </w:rPr>
        <w:t>1</w:t>
      </w:r>
      <w:r w:rsidRPr="009B4BFC">
        <w:rPr>
          <w:b/>
          <w:bCs/>
        </w:rPr>
        <w:fldChar w:fldCharType="end"/>
      </w:r>
      <w:r w:rsidRPr="009B4BFC">
        <w:rPr>
          <w:b/>
          <w:bCs/>
        </w:rPr>
        <w:t>:</w:t>
      </w:r>
      <w:r>
        <w:t xml:space="preserve"> Calculation of enthalpy and internal energy of combustion of benzoic acid.</w:t>
      </w:r>
    </w:p>
    <w:p w14:paraId="351DBCDC" w14:textId="77777777" w:rsidR="00074E68" w:rsidRDefault="009B4BFC" w:rsidP="00074E68">
      <w:pPr>
        <w:keepNext/>
        <w:jc w:val="center"/>
      </w:pPr>
      <w:r>
        <w:rPr>
          <w:noProof/>
        </w:rPr>
        <w:drawing>
          <wp:inline distT="0" distB="0" distL="0" distR="0" wp14:anchorId="5FA0DFBE" wp14:editId="39B45DF5">
            <wp:extent cx="3623480" cy="2080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277" cy="208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E57" w14:textId="66A8282F" w:rsidR="009B4BFC" w:rsidRPr="009B4BFC" w:rsidRDefault="00074E68" w:rsidP="00074E68">
      <w:pPr>
        <w:pStyle w:val="Caption"/>
        <w:jc w:val="center"/>
      </w:pPr>
      <w:r w:rsidRPr="00074E68">
        <w:rPr>
          <w:b/>
          <w:bCs/>
        </w:rPr>
        <w:t xml:space="preserve">Figure </w:t>
      </w:r>
      <w:r w:rsidRPr="00074E68">
        <w:rPr>
          <w:b/>
          <w:bCs/>
        </w:rPr>
        <w:fldChar w:fldCharType="begin"/>
      </w:r>
      <w:r w:rsidRPr="00074E68">
        <w:rPr>
          <w:b/>
          <w:bCs/>
        </w:rPr>
        <w:instrText xml:space="preserve"> SEQ Figure \* ARABIC </w:instrText>
      </w:r>
      <w:r w:rsidRPr="00074E68">
        <w:rPr>
          <w:b/>
          <w:bCs/>
        </w:rPr>
        <w:fldChar w:fldCharType="separate"/>
      </w:r>
      <w:r w:rsidR="0020049A">
        <w:rPr>
          <w:b/>
          <w:bCs/>
          <w:noProof/>
        </w:rPr>
        <w:t>2</w:t>
      </w:r>
      <w:r w:rsidRPr="00074E68">
        <w:rPr>
          <w:b/>
          <w:bCs/>
        </w:rPr>
        <w:fldChar w:fldCharType="end"/>
      </w:r>
      <w:r w:rsidRPr="00074E68">
        <w:rPr>
          <w:b/>
          <w:bCs/>
        </w:rPr>
        <w:t>:</w:t>
      </w:r>
      <w:r>
        <w:t xml:space="preserve"> Calculation of enthalpy of combustion of benzoic acid using average bond enthalpy.</w:t>
      </w:r>
    </w:p>
    <w:sectPr w:rsidR="009B4BFC" w:rsidRPr="009B4BFC" w:rsidSect="00726F2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B2"/>
    <w:rsid w:val="00074E68"/>
    <w:rsid w:val="00080E18"/>
    <w:rsid w:val="00080FFF"/>
    <w:rsid w:val="00090002"/>
    <w:rsid w:val="00092574"/>
    <w:rsid w:val="000D341D"/>
    <w:rsid w:val="000E4FB2"/>
    <w:rsid w:val="00112071"/>
    <w:rsid w:val="00137100"/>
    <w:rsid w:val="00140DDF"/>
    <w:rsid w:val="001614A1"/>
    <w:rsid w:val="001B284C"/>
    <w:rsid w:val="0020049A"/>
    <w:rsid w:val="002424F6"/>
    <w:rsid w:val="002729F6"/>
    <w:rsid w:val="00275D19"/>
    <w:rsid w:val="0029760E"/>
    <w:rsid w:val="00344435"/>
    <w:rsid w:val="003A4CE0"/>
    <w:rsid w:val="003C1AB7"/>
    <w:rsid w:val="003D14E8"/>
    <w:rsid w:val="003D4712"/>
    <w:rsid w:val="003E66A9"/>
    <w:rsid w:val="00416DAA"/>
    <w:rsid w:val="00472B05"/>
    <w:rsid w:val="004D39BE"/>
    <w:rsid w:val="004F0D7E"/>
    <w:rsid w:val="00507493"/>
    <w:rsid w:val="00623AA4"/>
    <w:rsid w:val="00632A57"/>
    <w:rsid w:val="006B4241"/>
    <w:rsid w:val="006F6F70"/>
    <w:rsid w:val="00715F51"/>
    <w:rsid w:val="00721887"/>
    <w:rsid w:val="00726F23"/>
    <w:rsid w:val="00741270"/>
    <w:rsid w:val="0076451A"/>
    <w:rsid w:val="007F18D0"/>
    <w:rsid w:val="00802781"/>
    <w:rsid w:val="0083623E"/>
    <w:rsid w:val="008C3EAF"/>
    <w:rsid w:val="00955127"/>
    <w:rsid w:val="009671BA"/>
    <w:rsid w:val="00994106"/>
    <w:rsid w:val="009A6E5C"/>
    <w:rsid w:val="009B413C"/>
    <w:rsid w:val="009B4BFC"/>
    <w:rsid w:val="009C55D3"/>
    <w:rsid w:val="00A14E37"/>
    <w:rsid w:val="00A443CF"/>
    <w:rsid w:val="00A7390D"/>
    <w:rsid w:val="00AA2CC4"/>
    <w:rsid w:val="00AE335E"/>
    <w:rsid w:val="00B23145"/>
    <w:rsid w:val="00B259A9"/>
    <w:rsid w:val="00B45742"/>
    <w:rsid w:val="00B63B4F"/>
    <w:rsid w:val="00BC5B02"/>
    <w:rsid w:val="00BE3D42"/>
    <w:rsid w:val="00C10E82"/>
    <w:rsid w:val="00C4198E"/>
    <w:rsid w:val="00C62767"/>
    <w:rsid w:val="00CE14D0"/>
    <w:rsid w:val="00D26A87"/>
    <w:rsid w:val="00D95FC1"/>
    <w:rsid w:val="00DD4D01"/>
    <w:rsid w:val="00DD52D3"/>
    <w:rsid w:val="00DE14DC"/>
    <w:rsid w:val="00E025DB"/>
    <w:rsid w:val="00E03089"/>
    <w:rsid w:val="00E23FE3"/>
    <w:rsid w:val="00E25705"/>
    <w:rsid w:val="00E82B59"/>
    <w:rsid w:val="00ED0C43"/>
    <w:rsid w:val="00F03225"/>
    <w:rsid w:val="00F144DF"/>
    <w:rsid w:val="00F54018"/>
    <w:rsid w:val="00F5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EC2D"/>
  <w15:chartTrackingRefBased/>
  <w15:docId w15:val="{F5E8D0F0-8BEC-4E5F-8D66-AF40A803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6DAA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12071"/>
    <w:rPr>
      <w:color w:val="808080"/>
    </w:rPr>
  </w:style>
  <w:style w:type="table" w:styleId="TableGrid">
    <w:name w:val="Table Grid"/>
    <w:basedOn w:val="TableNormal"/>
    <w:uiPriority w:val="39"/>
    <w:rsid w:val="00AA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025DB"/>
    <w:pPr>
      <w:spacing w:after="200" w:line="240" w:lineRule="auto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BE3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4B1F1-EC6E-42E3-99D7-2E4F9372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Gillispie, Nathan</dc:creator>
  <cp:keywords/>
  <dc:description/>
  <cp:lastModifiedBy>Nathan Gillispie</cp:lastModifiedBy>
  <cp:revision>64</cp:revision>
  <cp:lastPrinted>2022-10-07T02:58:00Z</cp:lastPrinted>
  <dcterms:created xsi:type="dcterms:W3CDTF">2022-09-23T14:08:00Z</dcterms:created>
  <dcterms:modified xsi:type="dcterms:W3CDTF">2022-10-07T03:00:00Z</dcterms:modified>
</cp:coreProperties>
</file>