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7C6F" w14:textId="59D35964" w:rsidR="00D04963" w:rsidRPr="000115F4" w:rsidRDefault="00DE66A4" w:rsidP="00BE5425">
      <w:pPr>
        <w:spacing w:line="276" w:lineRule="auto"/>
        <w:jc w:val="both"/>
        <w:rPr>
          <w:rFonts w:cs="Times New Roman"/>
          <w:lang w:val="de-DE"/>
        </w:rPr>
      </w:pPr>
      <w:r w:rsidRPr="00735940">
        <w:rPr>
          <w:rFonts w:cs="Times New Roman"/>
          <w:lang w:val="de-DE"/>
        </w:rPr>
        <w:t>Nathan Gillispie</w:t>
      </w:r>
      <w:r w:rsidR="00D04963">
        <w:rPr>
          <w:rFonts w:cs="Times New Roman"/>
          <w:lang w:val="de-DE"/>
        </w:rPr>
        <w:tab/>
      </w:r>
      <w:r w:rsidR="000247CA">
        <w:rPr>
          <w:rFonts w:cs="Times New Roman"/>
          <w:lang w:val="de-DE"/>
        </w:rPr>
        <w:t xml:space="preserve">   </w:t>
      </w:r>
      <w:r w:rsidR="00D04963" w:rsidRPr="000115F4">
        <w:rPr>
          <w:rFonts w:cs="Times New Roman"/>
          <w:lang w:val="de-DE"/>
        </w:rPr>
        <w:t>Lab Partners: Peyton Strickland, Kelsi Sogge</w:t>
      </w:r>
      <w:r w:rsidR="000247CA">
        <w:rPr>
          <w:rFonts w:cs="Times New Roman"/>
          <w:lang w:val="de-DE"/>
        </w:rPr>
        <w:t xml:space="preserve"> </w:t>
      </w:r>
      <w:r w:rsidR="000247CA">
        <w:rPr>
          <w:rFonts w:cs="Times New Roman"/>
          <w:lang w:val="de-DE"/>
        </w:rPr>
        <w:tab/>
      </w:r>
      <w:r w:rsidR="000247CA">
        <w:rPr>
          <w:rFonts w:cs="Times New Roman"/>
          <w:lang w:val="de-DE"/>
        </w:rPr>
        <w:tab/>
        <w:t xml:space="preserve"> </w:t>
      </w:r>
      <w:r w:rsidR="000247CA" w:rsidRPr="000247CA">
        <w:rPr>
          <w:rFonts w:cs="Times New Roman"/>
          <w:lang w:val="de-DE"/>
        </w:rPr>
        <w:t>Lab date: August 31, 2022</w:t>
      </w:r>
    </w:p>
    <w:p w14:paraId="1F65AC67" w14:textId="7F867F8B" w:rsidR="00F1658D" w:rsidRDefault="00DE66A4" w:rsidP="00BE5425">
      <w:pPr>
        <w:spacing w:line="276" w:lineRule="auto"/>
        <w:jc w:val="both"/>
        <w:rPr>
          <w:rFonts w:cs="Times New Roman"/>
          <w:sz w:val="26"/>
          <w:szCs w:val="26"/>
        </w:rPr>
      </w:pPr>
      <w:r w:rsidRPr="00735940">
        <w:rPr>
          <w:rFonts w:cs="Times New Roman"/>
          <w:sz w:val="26"/>
          <w:szCs w:val="26"/>
        </w:rPr>
        <w:t>The Calculation of Heat Capacity Ratios of Nitrogen and Argon Using Adiabatic Expansion</w:t>
      </w:r>
    </w:p>
    <w:p w14:paraId="6B132200" w14:textId="04F13D7D" w:rsidR="00F1658D" w:rsidRPr="00735940" w:rsidRDefault="00D57BEE" w:rsidP="00BE5425">
      <w:pPr>
        <w:pStyle w:val="Heading1"/>
        <w:spacing w:line="276" w:lineRule="auto"/>
      </w:pPr>
      <w:r w:rsidRPr="00735940">
        <w:t>Introduction</w:t>
      </w:r>
      <w:r w:rsidR="00DE66A4" w:rsidRPr="00735940">
        <w:t>:</w:t>
      </w:r>
    </w:p>
    <w:p w14:paraId="2DC6F253" w14:textId="6CC4E991" w:rsidR="003176AD" w:rsidRDefault="00CA1109" w:rsidP="00462AEC">
      <w:pPr>
        <w:spacing w:line="360" w:lineRule="auto"/>
        <w:jc w:val="both"/>
        <w:rPr>
          <w:rFonts w:eastAsiaTheme="minorEastAsia" w:cs="Times New Roman"/>
        </w:rPr>
      </w:pPr>
      <w:r w:rsidRPr="00735940">
        <w:rPr>
          <w:rFonts w:eastAsiaTheme="minorEastAsia" w:cs="Times New Roman"/>
        </w:rPr>
        <w:tab/>
        <w:t xml:space="preserve">The heat capacity </w:t>
      </w:r>
      <m:oMath>
        <m:r>
          <w:rPr>
            <w:rFonts w:ascii="Cambria Math" w:eastAsiaTheme="minorEastAsia" w:hAnsi="Cambria Math" w:cs="Times New Roman"/>
          </w:rPr>
          <m:t>C</m:t>
        </m:r>
      </m:oMath>
      <w:r w:rsidR="00260722" w:rsidRPr="00735940">
        <w:rPr>
          <w:rFonts w:eastAsiaTheme="minorEastAsia" w:cs="Times New Roman"/>
        </w:rPr>
        <w:t xml:space="preserve"> </w:t>
      </w:r>
      <w:r w:rsidRPr="00735940">
        <w:rPr>
          <w:rFonts w:eastAsiaTheme="minorEastAsia" w:cs="Times New Roman"/>
        </w:rPr>
        <w:t xml:space="preserve">of a substance tells us how much </w:t>
      </w:r>
      <w:r w:rsidR="00BC04B5" w:rsidRPr="00735940">
        <w:rPr>
          <w:rFonts w:eastAsiaTheme="minorEastAsia" w:cs="Times New Roman"/>
        </w:rPr>
        <w:t>heat</w:t>
      </w:r>
      <w:r w:rsidR="006922A2">
        <w:rPr>
          <w:rFonts w:eastAsiaTheme="minorEastAsia" w:cs="Times New Roman"/>
        </w:rPr>
        <w:t xml:space="preserve"> </w:t>
      </w:r>
      <m:oMath>
        <m:r>
          <w:rPr>
            <w:rFonts w:ascii="Cambria Math" w:hAnsi="Cambria Math" w:cs="Times New Roman"/>
          </w:rPr>
          <m:t>q</m:t>
        </m:r>
      </m:oMath>
      <w:r w:rsidRPr="00735940">
        <w:rPr>
          <w:rFonts w:eastAsiaTheme="minorEastAsia" w:cs="Times New Roman"/>
        </w:rPr>
        <w:t xml:space="preserve"> must be put into a system to get a certain amount of change in the temperature</w:t>
      </w:r>
      <w:r w:rsidR="006922A2">
        <w:rPr>
          <w:rFonts w:eastAsiaTheme="minorEastAsia" w:cs="Times New Roman"/>
        </w:rPr>
        <w:t xml:space="preserve"> </w:t>
      </w:r>
      <m:oMath>
        <m:r>
          <w:rPr>
            <w:rFonts w:ascii="Cambria Math" w:hAnsi="Cambria Math" w:cs="Times New Roman"/>
          </w:rPr>
          <m:t>T</m:t>
        </m:r>
      </m:oMath>
      <w:r w:rsidR="009B4CD8" w:rsidRPr="00735940">
        <w:rPr>
          <w:rFonts w:eastAsiaTheme="minorEastAsia" w:cs="Times New Roman"/>
        </w:rPr>
        <w:t xml:space="preserve">: </w:t>
      </w:r>
      <m:oMath>
        <m:r>
          <w:rPr>
            <w:rFonts w:ascii="Cambria Math" w:eastAsiaTheme="minorEastAsia" w:hAnsi="Cambria Math" w:cs="Times New Roman"/>
          </w:rPr>
          <m:t>C=</m:t>
        </m:r>
        <m:r>
          <w:rPr>
            <w:rFonts w:ascii="Cambria Math" w:hAnsi="Cambria Math" w:cs="Times New Roman"/>
          </w:rPr>
          <m:t>∂q</m:t>
        </m:r>
        <m:r>
          <w:rPr>
            <w:rFonts w:ascii="Cambria Math" w:eastAsiaTheme="minorEastAsia" w:hAnsi="Cambria Math" w:cs="Times New Roman"/>
          </w:rPr>
          <m:t>/</m:t>
        </m:r>
        <m:r>
          <w:rPr>
            <w:rFonts w:ascii="Cambria Math" w:hAnsi="Cambria Math" w:cs="Times New Roman"/>
          </w:rPr>
          <m:t>∂T</m:t>
        </m:r>
      </m:oMath>
      <w:r w:rsidR="009B4CD8" w:rsidRPr="00735940">
        <w:rPr>
          <w:rFonts w:eastAsiaTheme="minorEastAsia" w:cs="Times New Roman"/>
        </w:rPr>
        <w:t xml:space="preserve"> </w:t>
      </w:r>
      <w:r w:rsidRPr="00735940">
        <w:rPr>
          <w:rFonts w:eastAsiaTheme="minorEastAsia" w:cs="Times New Roman"/>
        </w:rPr>
        <w:t>.</w:t>
      </w:r>
      <w:r w:rsidR="000D7601">
        <w:rPr>
          <w:rFonts w:eastAsiaTheme="minorEastAsia" w:cs="Times New Roman"/>
        </w:rPr>
        <w:t xml:space="preserve"> </w:t>
      </w:r>
      <w:r w:rsidR="006922A2">
        <w:rPr>
          <w:rFonts w:eastAsiaTheme="minorEastAsia" w:cs="Times New Roman"/>
        </w:rPr>
        <w:t xml:space="preserve">Holding volume </w:t>
      </w:r>
      <m:oMath>
        <m:r>
          <w:rPr>
            <w:rFonts w:ascii="Cambria Math" w:hAnsi="Cambria Math" w:cs="Times New Roman"/>
          </w:rPr>
          <m:t>V</m:t>
        </m:r>
      </m:oMath>
      <w:r w:rsidR="006922A2">
        <w:rPr>
          <w:rFonts w:eastAsiaTheme="minorEastAsia" w:cs="Times New Roman"/>
        </w:rPr>
        <w:t xml:space="preserve"> and pressure </w:t>
      </w:r>
      <m:oMath>
        <m:r>
          <w:rPr>
            <w:rFonts w:ascii="Cambria Math" w:hAnsi="Cambria Math" w:cs="Times New Roman"/>
          </w:rPr>
          <m:t>P</m:t>
        </m:r>
      </m:oMath>
      <w:r w:rsidR="006922A2">
        <w:rPr>
          <w:rFonts w:eastAsiaTheme="minorEastAsia" w:cs="Times New Roman"/>
        </w:rPr>
        <w:t xml:space="preserve"> constant we get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t>
            </m:r>
          </m:sub>
        </m:sSub>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∂T</m:t>
                    </m:r>
                  </m:den>
                </m:f>
              </m:e>
            </m:d>
          </m:e>
          <m:sub>
            <m:r>
              <w:rPr>
                <w:rFonts w:ascii="Cambria Math" w:eastAsiaTheme="minorEastAsia" w:hAnsi="Cambria Math" w:cs="Times New Roman"/>
              </w:rPr>
              <m:t>V</m:t>
            </m:r>
          </m:sub>
        </m:sSub>
      </m:oMath>
      <w:r w:rsidR="009B4CD8" w:rsidRPr="00735940">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oMath>
      <w:r w:rsidR="006922A2">
        <w:rPr>
          <w:rFonts w:eastAsiaTheme="minorEastAsia" w:cs="Times New Roman"/>
        </w:rPr>
        <w:t xml:space="preserve"> respectively. For ideal gasses</w:t>
      </w:r>
      <w:r w:rsidR="00BE5425">
        <w:rPr>
          <w:rFonts w:eastAsiaTheme="minorEastAsia" w:cs="Times New Roman"/>
        </w:rPr>
        <w:t xml:space="preserve"> and gas constant </w:t>
      </w:r>
      <m:oMath>
        <m:r>
          <w:rPr>
            <w:rFonts w:ascii="Cambria Math" w:eastAsiaTheme="minorEastAsia" w:hAnsi="Cambria Math" w:cs="Times New Roman"/>
          </w:rPr>
          <m:t>R</m:t>
        </m:r>
      </m:oMath>
      <w:r w:rsidR="003176AD">
        <w:rPr>
          <w:rFonts w:eastAsiaTheme="minorEastAsia" w:cs="Times New Roman"/>
        </w:rPr>
        <w:t>:</w:t>
      </w:r>
    </w:p>
    <w:tbl>
      <w:tblPr>
        <w:tblStyle w:val="PlainTable4"/>
        <w:tblpPr w:leftFromText="180" w:rightFromText="180" w:vertAnchor="text" w:horzAnchor="margin" w:tblpY="17"/>
        <w:tblW w:w="10070" w:type="dxa"/>
        <w:tblLook w:val="04A0" w:firstRow="1" w:lastRow="0" w:firstColumn="1" w:lastColumn="0" w:noHBand="0" w:noVBand="1"/>
      </w:tblPr>
      <w:tblGrid>
        <w:gridCol w:w="1980"/>
        <w:gridCol w:w="5940"/>
        <w:gridCol w:w="2150"/>
      </w:tblGrid>
      <w:tr w:rsidR="003176AD" w:rsidRPr="003B7198" w14:paraId="11F21433" w14:textId="77777777" w:rsidTr="007F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4D1FF1" w14:textId="77777777" w:rsidR="003176AD" w:rsidRPr="003B7198" w:rsidRDefault="003176AD" w:rsidP="007F7803">
            <w:pPr>
              <w:keepNext/>
              <w:spacing w:line="360" w:lineRule="auto"/>
              <w:jc w:val="center"/>
              <w:rPr>
                <w:rFonts w:eastAsia="Calibri" w:cs="Times New Roman"/>
                <w:b w:val="0"/>
                <w:bCs w:val="0"/>
              </w:rPr>
            </w:pPr>
          </w:p>
        </w:tc>
        <w:tc>
          <w:tcPr>
            <w:tcW w:w="5940" w:type="dxa"/>
          </w:tcPr>
          <w:p w14:paraId="3ECF2D81" w14:textId="72CBD7B0" w:rsidR="003176AD" w:rsidRPr="003176AD" w:rsidRDefault="003176AD" w:rsidP="003176AD">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inorEastAsia"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P,m</m:t>
                    </m:r>
                  </m:sub>
                </m:sSub>
                <m:r>
                  <m:rPr>
                    <m:sty m:val="bi"/>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V,m</m:t>
                    </m:r>
                  </m:sub>
                </m:sSub>
                <m:r>
                  <m:rPr>
                    <m:sty m:val="bi"/>
                  </m:rPr>
                  <w:rPr>
                    <w:rFonts w:ascii="Cambria Math" w:eastAsiaTheme="minorEastAsia" w:hAnsi="Cambria Math" w:cs="Times New Roman"/>
                  </w:rPr>
                  <m:t>=R</m:t>
                </m:r>
              </m:oMath>
            </m:oMathPara>
          </w:p>
        </w:tc>
        <w:tc>
          <w:tcPr>
            <w:tcW w:w="2150" w:type="dxa"/>
          </w:tcPr>
          <w:p w14:paraId="2D11763F" w14:textId="77777777" w:rsidR="003176AD" w:rsidRPr="003B7198" w:rsidRDefault="003176AD" w:rsidP="007F7803">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3B7198">
              <w:rPr>
                <w:rFonts w:cs="Times New Roman"/>
                <w:b w:val="0"/>
                <w:bCs w:val="0"/>
              </w:rPr>
              <w:t>(1)</w:t>
            </w:r>
          </w:p>
        </w:tc>
      </w:tr>
    </w:tbl>
    <w:p w14:paraId="65585D31" w14:textId="1E329C7C" w:rsidR="00301B7F" w:rsidRPr="003176AD" w:rsidRDefault="008170B6" w:rsidP="003C0B02">
      <w:pPr>
        <w:spacing w:line="360" w:lineRule="auto"/>
        <w:ind w:firstLine="720"/>
        <w:jc w:val="both"/>
        <w:rPr>
          <w:rFonts w:eastAsiaTheme="minorEastAsia" w:cs="Times New Roman"/>
        </w:rPr>
      </w:pPr>
      <w:r>
        <w:rPr>
          <w:rFonts w:eastAsiaTheme="minorEastAsia" w:cs="Times New Roman"/>
        </w:rPr>
        <w:t xml:space="preserve">For ideal monoatomic gasses </w:t>
      </w:r>
      <m:oMath>
        <m:bar>
          <m:barPr>
            <m:pos m:val="top"/>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t>
                </m:r>
              </m:sub>
            </m:sSub>
          </m:e>
        </m:bar>
        <m:r>
          <w:rPr>
            <w:rFonts w:ascii="Cambria Math" w:eastAsiaTheme="minorEastAsia" w:hAnsi="Cambria Math" w:cs="Times New Roman"/>
          </w:rPr>
          <m:t>=3/2R</m:t>
        </m:r>
      </m:oMath>
      <w:r>
        <w:rPr>
          <w:rFonts w:eastAsiaTheme="minorEastAsia" w:cs="Times New Roman"/>
        </w:rPr>
        <w:t xml:space="preserve"> and </w:t>
      </w:r>
      <m:oMath>
        <m:bar>
          <m:barPr>
            <m:pos m:val="top"/>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t>
                </m:r>
              </m:sub>
            </m:sSub>
          </m:e>
        </m:bar>
        <m:r>
          <w:rPr>
            <w:rFonts w:ascii="Cambria Math" w:eastAsiaTheme="minorEastAsia" w:hAnsi="Cambria Math" w:cs="Times New Roman"/>
          </w:rPr>
          <m:t>=</m:t>
        </m:r>
        <m:r>
          <w:rPr>
            <w:rFonts w:ascii="Cambria Math" w:eastAsiaTheme="minorEastAsia" w:hAnsi="Cambria Math" w:cs="Times New Roman"/>
          </w:rPr>
          <m:t>5</m:t>
        </m:r>
        <m:r>
          <w:rPr>
            <w:rFonts w:ascii="Cambria Math" w:eastAsiaTheme="minorEastAsia" w:hAnsi="Cambria Math" w:cs="Times New Roman"/>
          </w:rPr>
          <m:t>/2R</m:t>
        </m:r>
      </m:oMath>
      <w:r>
        <w:rPr>
          <w:rFonts w:eastAsiaTheme="minorEastAsia" w:cs="Times New Roman"/>
        </w:rPr>
        <w:t xml:space="preserve"> for ideal diatomic gasses. This can be intuitively explained with molecular degrees of freedom</w:t>
      </w:r>
      <w:r w:rsidR="00E61D12">
        <w:rPr>
          <w:rFonts w:eastAsiaTheme="minorEastAsia" w:cs="Times New Roman"/>
        </w:rPr>
        <w:t xml:space="preserve">. Temperature increases proportionally with translational energy of molecules, but due to symmetry, </w:t>
      </w:r>
      <w:r w:rsidR="00E61D12" w:rsidRPr="003B7198">
        <w:rPr>
          <w:rFonts w:eastAsiaTheme="minorEastAsia" w:cs="Times New Roman"/>
        </w:rPr>
        <w:t>monoatomic gasses have only translational energy to store. Diatomic gasses can store energy in the vibration of two molecules as well as rotational energy</w:t>
      </w:r>
      <w:r w:rsidR="00462AEC" w:rsidRPr="003B7198">
        <w:rPr>
          <w:rFonts w:eastAsiaTheme="minorEastAsia" w:cs="Times New Roman"/>
        </w:rPr>
        <w:t xml:space="preserve">. So, </w:t>
      </w:r>
      <w:r w:rsidR="00E61D12" w:rsidRPr="003B7198">
        <w:rPr>
          <w:rFonts w:eastAsiaTheme="minorEastAsia" w:cs="Times New Roman"/>
        </w:rPr>
        <w:t>diatomic gasses have more ways of storing heat before changing temperature</w:t>
      </w:r>
      <w:r w:rsidR="00462AEC" w:rsidRPr="003B7198">
        <w:rPr>
          <w:rFonts w:eastAsiaTheme="minorEastAsia" w:cs="Times New Roman"/>
        </w:rPr>
        <w:t xml:space="preserve"> resulting in a higher heat capacity</w:t>
      </w:r>
      <w:r w:rsidR="0056455D">
        <w:rPr>
          <w:rFonts w:eastAsiaTheme="minorEastAsia" w:cs="Times New Roman"/>
        </w:rPr>
        <w:t>.</w:t>
      </w:r>
    </w:p>
    <w:tbl>
      <w:tblPr>
        <w:tblStyle w:val="PlainTable4"/>
        <w:tblpPr w:leftFromText="180" w:rightFromText="180" w:vertAnchor="text" w:horzAnchor="margin" w:tblpY="17"/>
        <w:tblW w:w="10070" w:type="dxa"/>
        <w:tblLook w:val="04A0" w:firstRow="1" w:lastRow="0" w:firstColumn="1" w:lastColumn="0" w:noHBand="0" w:noVBand="1"/>
      </w:tblPr>
      <w:tblGrid>
        <w:gridCol w:w="1980"/>
        <w:gridCol w:w="5940"/>
        <w:gridCol w:w="2150"/>
      </w:tblGrid>
      <w:tr w:rsidR="003B7198" w:rsidRPr="003B7198" w14:paraId="379D10B1" w14:textId="77777777" w:rsidTr="003B7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A02C81" w14:textId="77777777" w:rsidR="003B7198" w:rsidRPr="003B7198" w:rsidRDefault="003B7198" w:rsidP="003B7198">
            <w:pPr>
              <w:keepNext/>
              <w:spacing w:line="360" w:lineRule="auto"/>
              <w:jc w:val="center"/>
              <w:rPr>
                <w:rFonts w:eastAsia="Calibri" w:cs="Times New Roman"/>
                <w:b w:val="0"/>
                <w:bCs w:val="0"/>
              </w:rPr>
            </w:pPr>
          </w:p>
        </w:tc>
        <w:tc>
          <w:tcPr>
            <w:tcW w:w="5940" w:type="dxa"/>
          </w:tcPr>
          <w:p w14:paraId="1BD7F1D6" w14:textId="1CBD5B3F" w:rsidR="003B7198" w:rsidRPr="003B7198" w:rsidRDefault="003B7198" w:rsidP="003B7198">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m:oMathPara>
              <m:oMath>
                <m:r>
                  <m:rPr>
                    <m:sty m:val="bi"/>
                  </m:rPr>
                  <w:rPr>
                    <w:rFonts w:ascii="Cambria Math" w:hAnsi="Cambria Math" w:cs="Times New Roman"/>
                  </w:rPr>
                  <m:t>γ=</m:t>
                </m:r>
                <m:f>
                  <m:fPr>
                    <m:ctrlPr>
                      <w:rPr>
                        <w:rFonts w:ascii="Cambria Math" w:hAnsi="Cambria Math" w:cs="Times New Roman"/>
                        <w:b w:val="0"/>
                        <w:bCs w:val="0"/>
                        <w:i/>
                      </w:rPr>
                    </m:ctrlPr>
                  </m:fPr>
                  <m:num>
                    <m:sSub>
                      <m:sSubPr>
                        <m:ctrlPr>
                          <w:rPr>
                            <w:rFonts w:ascii="Cambria Math" w:hAnsi="Cambria Math" w:cs="Times New Roman"/>
                            <w:b w:val="0"/>
                            <w:bCs w:val="0"/>
                            <w:i/>
                          </w:rPr>
                        </m:ctrlPr>
                      </m:sSubPr>
                      <m:e>
                        <m:r>
                          <m:rPr>
                            <m:sty m:val="bi"/>
                          </m:rPr>
                          <w:rPr>
                            <w:rFonts w:ascii="Cambria Math" w:hAnsi="Cambria Math" w:cs="Times New Roman"/>
                          </w:rPr>
                          <m:t>C</m:t>
                        </m:r>
                      </m:e>
                      <m:sub>
                        <m:r>
                          <m:rPr>
                            <m:sty m:val="bi"/>
                          </m:rPr>
                          <w:rPr>
                            <w:rFonts w:ascii="Cambria Math" w:hAnsi="Cambria Math" w:cs="Times New Roman"/>
                          </w:rPr>
                          <m:t>P</m:t>
                        </m:r>
                        <m:r>
                          <m:rPr>
                            <m:sty m:val="bi"/>
                          </m:rPr>
                          <w:rPr>
                            <w:rFonts w:ascii="Cambria Math" w:hAnsi="Cambria Math" w:cs="Times New Roman"/>
                          </w:rPr>
                          <m:t>,m</m:t>
                        </m:r>
                      </m:sub>
                    </m:sSub>
                  </m:num>
                  <m:den>
                    <m:sSub>
                      <m:sSubPr>
                        <m:ctrlPr>
                          <w:rPr>
                            <w:rFonts w:ascii="Cambria Math" w:hAnsi="Cambria Math" w:cs="Times New Roman"/>
                            <w:b w:val="0"/>
                            <w:bCs w:val="0"/>
                            <w:i/>
                          </w:rPr>
                        </m:ctrlPr>
                      </m:sSubPr>
                      <m:e>
                        <m:r>
                          <m:rPr>
                            <m:sty m:val="bi"/>
                          </m:rPr>
                          <w:rPr>
                            <w:rFonts w:ascii="Cambria Math" w:hAnsi="Cambria Math" w:cs="Times New Roman"/>
                          </w:rPr>
                          <m:t>C</m:t>
                        </m:r>
                      </m:e>
                      <m:sub>
                        <m:r>
                          <m:rPr>
                            <m:sty m:val="bi"/>
                          </m:rPr>
                          <w:rPr>
                            <w:rFonts w:ascii="Cambria Math" w:hAnsi="Cambria Math" w:cs="Times New Roman"/>
                          </w:rPr>
                          <m:t>V</m:t>
                        </m:r>
                        <m:r>
                          <m:rPr>
                            <m:sty m:val="bi"/>
                          </m:rPr>
                          <w:rPr>
                            <w:rFonts w:ascii="Cambria Math" w:hAnsi="Cambria Math" w:cs="Times New Roman"/>
                          </w:rPr>
                          <m:t>,m</m:t>
                        </m:r>
                      </m:sub>
                    </m:sSub>
                  </m:den>
                </m:f>
              </m:oMath>
            </m:oMathPara>
          </w:p>
        </w:tc>
        <w:tc>
          <w:tcPr>
            <w:tcW w:w="2150" w:type="dxa"/>
          </w:tcPr>
          <w:p w14:paraId="46654F39" w14:textId="630D8813" w:rsidR="003B7198" w:rsidRPr="003B7198" w:rsidRDefault="003B7198" w:rsidP="003B7198">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3B7198">
              <w:rPr>
                <w:rFonts w:cs="Times New Roman"/>
                <w:b w:val="0"/>
                <w:bCs w:val="0"/>
              </w:rPr>
              <w:t>(</w:t>
            </w:r>
            <w:r w:rsidR="003176AD">
              <w:rPr>
                <w:rFonts w:cs="Times New Roman"/>
                <w:b w:val="0"/>
                <w:bCs w:val="0"/>
              </w:rPr>
              <w:t>2</w:t>
            </w:r>
            <w:r w:rsidRPr="003B7198">
              <w:rPr>
                <w:rFonts w:cs="Times New Roman"/>
                <w:b w:val="0"/>
                <w:bCs w:val="0"/>
              </w:rPr>
              <w:t>)</w:t>
            </w:r>
          </w:p>
        </w:tc>
      </w:tr>
    </w:tbl>
    <w:p w14:paraId="4F7E44F3" w14:textId="3A27F545" w:rsidR="0056455D" w:rsidRDefault="00011EFB" w:rsidP="003B7198">
      <w:pPr>
        <w:spacing w:line="360" w:lineRule="auto"/>
        <w:jc w:val="both"/>
        <w:rPr>
          <w:rFonts w:eastAsiaTheme="minorEastAsia" w:cs="Times New Roman"/>
        </w:rPr>
      </w:pPr>
      <w:r w:rsidRPr="003B7198">
        <w:rPr>
          <w:rFonts w:eastAsiaTheme="minorEastAsia" w:cs="Times New Roman"/>
        </w:rPr>
        <w:t xml:space="preserve">We can imply </w:t>
      </w:r>
      <m:oMath>
        <m:r>
          <w:rPr>
            <w:rFonts w:ascii="Cambria Math" w:hAnsi="Cambria Math" w:cs="Times New Roman"/>
          </w:rPr>
          <m:t>γ</m:t>
        </m:r>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V,m</m:t>
            </m:r>
          </m:sub>
        </m:sSub>
        <m:r>
          <w:rPr>
            <w:rFonts w:ascii="Cambria Math" w:hAnsi="Cambria Math" w:cs="Times New Roman"/>
          </w:rPr>
          <m:t>-R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V,m</m:t>
            </m:r>
          </m:sub>
        </m:sSub>
      </m:oMath>
      <w:r w:rsidR="003176AD">
        <w:rPr>
          <w:rFonts w:eastAsiaTheme="minorEastAsia" w:cs="Times New Roman"/>
        </w:rPr>
        <w:t xml:space="preserve"> using equation 1</w:t>
      </w:r>
      <w:r w:rsidRPr="003B7198">
        <w:rPr>
          <w:rFonts w:eastAsiaTheme="minorEastAsia" w:cs="Times New Roman"/>
        </w:rPr>
        <w:t xml:space="preserve"> and substitute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t>
            </m:r>
            <m:r>
              <w:rPr>
                <w:rFonts w:ascii="Cambria Math" w:eastAsiaTheme="minorEastAsia" w:hAnsi="Cambria Math" w:cs="Times New Roman"/>
              </w:rPr>
              <m:t>,m</m:t>
            </m:r>
          </m:sub>
        </m:sSub>
      </m:oMath>
      <w:r w:rsidR="00CB09CA" w:rsidRPr="003B7198">
        <w:rPr>
          <w:rFonts w:eastAsiaTheme="minorEastAsia" w:cs="Times New Roman"/>
        </w:rPr>
        <w:t xml:space="preserve"> </w:t>
      </w:r>
      <w:r w:rsidRPr="003B7198">
        <w:rPr>
          <w:rFonts w:eastAsiaTheme="minorEastAsia" w:cs="Times New Roman"/>
        </w:rPr>
        <w:t xml:space="preserve">to get </w:t>
      </w:r>
      <m:oMath>
        <m:r>
          <w:rPr>
            <w:rFonts w:ascii="Cambria Math" w:hAnsi="Cambria Math" w:cs="Times New Roman"/>
          </w:rPr>
          <m:t>γ=</m:t>
        </m:r>
        <m:r>
          <w:rPr>
            <w:rFonts w:ascii="Cambria Math" w:hAnsi="Cambria Math" w:cs="Times New Roman"/>
          </w:rPr>
          <m:t>5/3</m:t>
        </m:r>
      </m:oMath>
      <w:r w:rsidRPr="003B7198">
        <w:rPr>
          <w:rFonts w:eastAsiaTheme="minorEastAsia" w:cs="Times New Roman"/>
        </w:rPr>
        <w:t xml:space="preserve"> for ideal monoatomic gasses and </w:t>
      </w:r>
      <m:oMath>
        <m:r>
          <w:rPr>
            <w:rFonts w:ascii="Cambria Math" w:hAnsi="Cambria Math" w:cs="Times New Roman"/>
          </w:rPr>
          <m:t>γ=</m:t>
        </m:r>
        <m:r>
          <w:rPr>
            <w:rFonts w:ascii="Cambria Math" w:eastAsiaTheme="minorEastAsia" w:hAnsi="Cambria Math" w:cs="Times New Roman"/>
          </w:rPr>
          <m:t>7/5</m:t>
        </m:r>
      </m:oMath>
      <w:r w:rsidRPr="003B7198">
        <w:rPr>
          <w:rFonts w:eastAsiaTheme="minorEastAsia" w:cs="Times New Roman"/>
        </w:rPr>
        <w:t xml:space="preserve"> for ideal diatomic gasses</w:t>
      </w:r>
      <w:r w:rsidR="003B7198">
        <w:rPr>
          <w:rFonts w:eastAsiaTheme="minorEastAsia" w:cs="Times New Roman"/>
        </w:rPr>
        <w:t>.</w:t>
      </w:r>
      <w:r w:rsidR="00C5369A">
        <w:rPr>
          <w:rFonts w:eastAsiaTheme="minorEastAsia" w:cs="Times New Roman"/>
        </w:rPr>
        <w:t xml:space="preserve"> </w:t>
      </w:r>
    </w:p>
    <w:p w14:paraId="11C8C256" w14:textId="4DA67243" w:rsidR="0056455D" w:rsidRDefault="00C5369A" w:rsidP="0056455D">
      <w:pPr>
        <w:spacing w:line="360" w:lineRule="auto"/>
        <w:ind w:firstLine="720"/>
        <w:jc w:val="both"/>
        <w:rPr>
          <w:rFonts w:eastAsiaTheme="minorEastAsia" w:cs="Times New Roman"/>
        </w:rPr>
      </w:pPr>
      <w:r w:rsidRPr="003B7198">
        <w:rPr>
          <w:rFonts w:eastAsiaTheme="minorEastAsia" w:cs="Times New Roman"/>
        </w:rPr>
        <w:t>In this experiment, we are not concerned with calculating heat capacity (although it can be easily derived)</w:t>
      </w:r>
      <w:r w:rsidR="0056455D">
        <w:rPr>
          <w:rFonts w:eastAsiaTheme="minorEastAsia" w:cs="Times New Roman"/>
        </w:rPr>
        <w:t xml:space="preserve">. The purpose is to calculate </w:t>
      </w:r>
      <w:r w:rsidRPr="003B7198">
        <w:rPr>
          <w:rFonts w:eastAsiaTheme="minorEastAsia" w:cs="Times New Roman"/>
        </w:rPr>
        <w:t xml:space="preserve">the ratio of heat capacities gamma defined in equation </w:t>
      </w:r>
      <w:r w:rsidR="003176AD">
        <w:rPr>
          <w:rFonts w:eastAsiaTheme="minorEastAsia" w:cs="Times New Roman"/>
        </w:rPr>
        <w:t>2</w:t>
      </w:r>
      <w:r w:rsidRPr="003B7198">
        <w:rPr>
          <w:rFonts w:eastAsiaTheme="minorEastAsia" w:cs="Times New Roman"/>
        </w:rPr>
        <w:t>.</w:t>
      </w:r>
      <w:r w:rsidR="000247CA">
        <w:rPr>
          <w:rFonts w:eastAsiaTheme="minorEastAsia" w:cs="Times New Roman"/>
        </w:rPr>
        <w:t xml:space="preserve"> We do this using adiabatic expansion, first taking a system at pressure </w:t>
      </w:r>
      <m:oMath>
        <m:sSub>
          <m:sSubPr>
            <m:ctrlPr>
              <w:rPr>
                <w:rFonts w:ascii="Cambria Math" w:hAnsi="Cambria Math" w:cs="Times New Roman"/>
                <w:i/>
              </w:rPr>
            </m:ctrlPr>
          </m:sSubPr>
          <m:e>
            <m:r>
              <m:rPr>
                <m:sty m:val="bi"/>
              </m:rPr>
              <w:rPr>
                <w:rFonts w:ascii="Cambria Math" w:hAnsi="Cambria Math" w:cs="Times New Roman"/>
              </w:rPr>
              <m:t>P</m:t>
            </m:r>
          </m:e>
          <m:sub>
            <m:r>
              <m:rPr>
                <m:sty m:val="bi"/>
              </m:rPr>
              <w:rPr>
                <w:rFonts w:ascii="Cambria Math" w:hAnsi="Cambria Math" w:cs="Times New Roman"/>
              </w:rPr>
              <m:t>1</m:t>
            </m:r>
          </m:sub>
        </m:sSub>
      </m:oMath>
      <w:r w:rsidR="000247CA">
        <w:rPr>
          <w:rFonts w:eastAsiaTheme="minorEastAsia" w:cs="Times New Roman"/>
        </w:rPr>
        <w:t xml:space="preserve"> allowing to adiabatically expand to atmospheric pressure </w:t>
      </w:r>
      <m:oMath>
        <m:sSub>
          <m:sSubPr>
            <m:ctrlPr>
              <w:rPr>
                <w:rFonts w:ascii="Cambria Math" w:hAnsi="Cambria Math" w:cs="Times New Roman"/>
                <w:i/>
              </w:rPr>
            </m:ctrlPr>
          </m:sSubPr>
          <m:e>
            <m:r>
              <m:rPr>
                <m:sty m:val="bi"/>
              </m:rPr>
              <w:rPr>
                <w:rFonts w:ascii="Cambria Math" w:hAnsi="Cambria Math" w:cs="Times New Roman"/>
              </w:rPr>
              <m:t>P</m:t>
            </m:r>
          </m:e>
          <m:sub>
            <m:r>
              <m:rPr>
                <m:sty m:val="bi"/>
              </m:rPr>
              <w:rPr>
                <w:rFonts w:ascii="Cambria Math" w:hAnsi="Cambria Math" w:cs="Times New Roman"/>
              </w:rPr>
              <m:t>2</m:t>
            </m:r>
          </m:sub>
        </m:sSub>
      </m:oMath>
      <w:r w:rsidR="000247CA">
        <w:rPr>
          <w:rFonts w:eastAsiaTheme="minorEastAsia" w:cs="Times New Roman"/>
        </w:rPr>
        <w:t xml:space="preserve"> resulting in a temperature drop </w:t>
      </w:r>
      <w:r w:rsidR="00E951A1">
        <w:rPr>
          <w:rFonts w:eastAsiaTheme="minorEastAsia" w:cs="Times New Roman"/>
        </w:rPr>
        <w:t>from ambient T</w:t>
      </w:r>
      <w:r w:rsidR="00E951A1" w:rsidRPr="00E951A1">
        <w:rPr>
          <w:rFonts w:eastAsiaTheme="minorEastAsia" w:cs="Times New Roman"/>
          <w:vertAlign w:val="subscript"/>
        </w:rPr>
        <w:t>1</w:t>
      </w:r>
      <w:r w:rsidR="00E951A1">
        <w:rPr>
          <w:rFonts w:eastAsiaTheme="minorEastAsia" w:cs="Times New Roman"/>
        </w:rPr>
        <w:t xml:space="preserve"> </w:t>
      </w:r>
      <w:r w:rsidR="00F26FA3">
        <w:rPr>
          <w:rFonts w:eastAsiaTheme="minorEastAsia" w:cs="Times New Roman"/>
        </w:rPr>
        <w:t>to T</w:t>
      </w:r>
      <w:r w:rsidR="00F26FA3" w:rsidRPr="00F26FA3">
        <w:rPr>
          <w:rFonts w:eastAsiaTheme="minorEastAsia" w:cs="Times New Roman"/>
          <w:vertAlign w:val="subscript"/>
        </w:rPr>
        <w:t>2</w:t>
      </w:r>
      <w:r w:rsidR="00F26FA3">
        <w:rPr>
          <w:rFonts w:eastAsiaTheme="minorEastAsia" w:cs="Times New Roman"/>
        </w:rPr>
        <w:t xml:space="preserve"> </w:t>
      </w:r>
      <w:r w:rsidR="000247CA">
        <w:rPr>
          <w:rFonts w:eastAsiaTheme="minorEastAsia" w:cs="Times New Roman"/>
        </w:rPr>
        <w:t xml:space="preserve">which after closing the system equilibrates to </w:t>
      </w:r>
      <m:oMath>
        <m:sSub>
          <m:sSubPr>
            <m:ctrlPr>
              <w:rPr>
                <w:rFonts w:ascii="Cambria Math" w:hAnsi="Cambria Math" w:cs="Times New Roman"/>
                <w:i/>
              </w:rPr>
            </m:ctrlPr>
          </m:sSubPr>
          <m:e>
            <m:r>
              <m:rPr>
                <m:sty m:val="bi"/>
              </m:rPr>
              <w:rPr>
                <w:rFonts w:ascii="Cambria Math" w:hAnsi="Cambria Math" w:cs="Times New Roman"/>
              </w:rPr>
              <m:t>P</m:t>
            </m:r>
          </m:e>
          <m:sub>
            <m:r>
              <m:rPr>
                <m:sty m:val="bi"/>
              </m:rPr>
              <w:rPr>
                <w:rFonts w:ascii="Cambria Math" w:hAnsi="Cambria Math" w:cs="Times New Roman"/>
              </w:rPr>
              <m:t>3</m:t>
            </m:r>
          </m:sub>
        </m:sSub>
      </m:oMath>
      <w:r w:rsidR="000247CA">
        <w:rPr>
          <w:rFonts w:eastAsiaTheme="minorEastAsia" w:cs="Times New Roman"/>
        </w:rPr>
        <w:t>. The ratio of heat capacities can be calculated using only those pressures</w:t>
      </w:r>
      <w:r w:rsidR="008141CE">
        <w:rPr>
          <w:rFonts w:eastAsiaTheme="minorEastAsia" w:cs="Times New Roman"/>
        </w:rPr>
        <w:t>:</w:t>
      </w:r>
    </w:p>
    <w:tbl>
      <w:tblPr>
        <w:tblStyle w:val="PlainTable4"/>
        <w:tblpPr w:leftFromText="180" w:rightFromText="180" w:vertAnchor="text" w:horzAnchor="margin" w:tblpY="217"/>
        <w:tblW w:w="10070" w:type="dxa"/>
        <w:tblLook w:val="04A0" w:firstRow="1" w:lastRow="0" w:firstColumn="1" w:lastColumn="0" w:noHBand="0" w:noVBand="1"/>
      </w:tblPr>
      <w:tblGrid>
        <w:gridCol w:w="1980"/>
        <w:gridCol w:w="5940"/>
        <w:gridCol w:w="2150"/>
      </w:tblGrid>
      <w:tr w:rsidR="0056455D" w:rsidRPr="00735940" w14:paraId="61E8A860" w14:textId="77777777" w:rsidTr="00564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036935" w14:textId="77777777" w:rsidR="0056455D" w:rsidRPr="00735940" w:rsidRDefault="0056455D" w:rsidP="0056455D">
            <w:pPr>
              <w:keepNext/>
              <w:spacing w:line="360" w:lineRule="auto"/>
              <w:jc w:val="center"/>
              <w:rPr>
                <w:rFonts w:eastAsia="Calibri" w:cs="Times New Roman"/>
                <w:b w:val="0"/>
                <w:bCs w:val="0"/>
              </w:rPr>
            </w:pPr>
          </w:p>
        </w:tc>
        <w:tc>
          <w:tcPr>
            <w:tcW w:w="5940" w:type="dxa"/>
          </w:tcPr>
          <w:p w14:paraId="25E7D858" w14:textId="77777777" w:rsidR="0056455D" w:rsidRPr="00A35ACD" w:rsidRDefault="0056455D" w:rsidP="0056455D">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Para>
              <m:oMath>
                <m:r>
                  <m:rPr>
                    <m:sty m:val="bi"/>
                  </m:rPr>
                  <w:rPr>
                    <w:rFonts w:ascii="Cambria Math" w:hAnsi="Cambria Math" w:cs="Times New Roman"/>
                  </w:rPr>
                  <m:t>γ=</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den>
                            </m:f>
                          </m:e>
                        </m:d>
                      </m:e>
                    </m:func>
                  </m:num>
                  <m:den>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den>
                            </m:f>
                          </m:e>
                        </m:d>
                      </m:e>
                    </m:func>
                  </m:den>
                </m:f>
              </m:oMath>
            </m:oMathPara>
          </w:p>
        </w:tc>
        <w:tc>
          <w:tcPr>
            <w:tcW w:w="2150" w:type="dxa"/>
          </w:tcPr>
          <w:p w14:paraId="4A636363" w14:textId="77777777" w:rsidR="0056455D" w:rsidRPr="00735940" w:rsidRDefault="0056455D" w:rsidP="0056455D">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cs="Times New Roman"/>
                <w:b w:val="0"/>
                <w:bCs w:val="0"/>
              </w:rPr>
              <w:t>(</w:t>
            </w:r>
            <w:r>
              <w:rPr>
                <w:rFonts w:cs="Times New Roman"/>
                <w:b w:val="0"/>
                <w:bCs w:val="0"/>
              </w:rPr>
              <w:t>3</w:t>
            </w:r>
            <w:r w:rsidRPr="00735940">
              <w:rPr>
                <w:rFonts w:cs="Times New Roman"/>
                <w:b w:val="0"/>
                <w:bCs w:val="0"/>
              </w:rPr>
              <w:t>)</w:t>
            </w:r>
          </w:p>
        </w:tc>
      </w:tr>
    </w:tbl>
    <w:p w14:paraId="5A8E0A06" w14:textId="0B1FA741" w:rsidR="00F26FA3" w:rsidRDefault="00F26FA3" w:rsidP="00A06ABA">
      <w:pPr>
        <w:spacing w:line="360" w:lineRule="auto"/>
        <w:jc w:val="both"/>
        <w:rPr>
          <w:rFonts w:eastAsiaTheme="minorEastAsia" w:cs="Times New Roman"/>
        </w:rPr>
      </w:pPr>
      <w:r>
        <w:rPr>
          <w:rFonts w:eastAsiaTheme="minorEastAsia" w:cs="Times New Roman"/>
        </w:rPr>
        <w:t>The temperature drop T</w:t>
      </w:r>
      <w:r w:rsidRPr="00F26FA3">
        <w:rPr>
          <w:rFonts w:eastAsiaTheme="minorEastAsia" w:cs="Times New Roman"/>
          <w:vertAlign w:val="subscript"/>
        </w:rPr>
        <w:t>2</w:t>
      </w:r>
      <w:r>
        <w:rPr>
          <w:rFonts w:eastAsiaTheme="minorEastAsia" w:cs="Times New Roman"/>
        </w:rPr>
        <w:t xml:space="preserve"> – T</w:t>
      </w:r>
      <w:r w:rsidRPr="00F26FA3">
        <w:rPr>
          <w:rFonts w:eastAsiaTheme="minorEastAsia" w:cs="Times New Roman"/>
          <w:vertAlign w:val="subscript"/>
        </w:rPr>
        <w:t>1</w:t>
      </w:r>
      <w:r>
        <w:rPr>
          <w:rFonts w:eastAsiaTheme="minorEastAsia" w:cs="Times New Roman"/>
          <w:vertAlign w:val="subscript"/>
        </w:rPr>
        <w:t xml:space="preserve"> </w:t>
      </w:r>
      <w:r>
        <w:rPr>
          <w:rFonts w:eastAsiaTheme="minorEastAsia" w:cs="Times New Roman"/>
        </w:rPr>
        <w:t>can be calculated using the combined gas law:</w:t>
      </w:r>
    </w:p>
    <w:tbl>
      <w:tblPr>
        <w:tblStyle w:val="PlainTable4"/>
        <w:tblpPr w:leftFromText="180" w:rightFromText="180" w:vertAnchor="text" w:horzAnchor="margin" w:tblpY="217"/>
        <w:tblW w:w="10070" w:type="dxa"/>
        <w:tblLook w:val="04A0" w:firstRow="1" w:lastRow="0" w:firstColumn="1" w:lastColumn="0" w:noHBand="0" w:noVBand="1"/>
      </w:tblPr>
      <w:tblGrid>
        <w:gridCol w:w="1980"/>
        <w:gridCol w:w="5940"/>
        <w:gridCol w:w="2150"/>
      </w:tblGrid>
      <w:tr w:rsidR="00F26FA3" w:rsidRPr="00735940" w14:paraId="5DB8F34A" w14:textId="77777777" w:rsidTr="007F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EE6423" w14:textId="77777777" w:rsidR="00F26FA3" w:rsidRPr="00735940" w:rsidRDefault="00F26FA3" w:rsidP="007F7803">
            <w:pPr>
              <w:keepNext/>
              <w:spacing w:line="360" w:lineRule="auto"/>
              <w:jc w:val="center"/>
              <w:rPr>
                <w:rFonts w:eastAsia="Calibri" w:cs="Times New Roman"/>
                <w:b w:val="0"/>
                <w:bCs w:val="0"/>
              </w:rPr>
            </w:pPr>
          </w:p>
        </w:tc>
        <w:tc>
          <w:tcPr>
            <w:tcW w:w="5940" w:type="dxa"/>
          </w:tcPr>
          <w:p w14:paraId="1F8472C6" w14:textId="23D4F61B" w:rsidR="00F26FA3" w:rsidRPr="00F26FA3" w:rsidRDefault="00F26FA3" w:rsidP="007F7803">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Pr>
                <w:rFonts w:cs="Times New Roman"/>
                <w:b w:val="0"/>
                <w:bCs w:val="0"/>
                <w:sz w:val="24"/>
                <w:szCs w:val="24"/>
              </w:rPr>
              <w:t>P</w:t>
            </w:r>
            <w:r w:rsidRPr="00F26FA3">
              <w:rPr>
                <w:rFonts w:cs="Times New Roman"/>
                <w:b w:val="0"/>
                <w:bCs w:val="0"/>
                <w:sz w:val="24"/>
                <w:szCs w:val="24"/>
                <w:vertAlign w:val="subscript"/>
              </w:rPr>
              <w:t>1</w:t>
            </w:r>
            <w:r>
              <w:rPr>
                <w:rFonts w:cs="Times New Roman"/>
                <w:b w:val="0"/>
                <w:bCs w:val="0"/>
                <w:sz w:val="24"/>
                <w:szCs w:val="24"/>
              </w:rPr>
              <w:t>V</w:t>
            </w:r>
            <w:r w:rsidRPr="00F26FA3">
              <w:rPr>
                <w:rFonts w:cs="Times New Roman"/>
                <w:b w:val="0"/>
                <w:bCs w:val="0"/>
                <w:sz w:val="24"/>
                <w:szCs w:val="24"/>
                <w:vertAlign w:val="subscript"/>
              </w:rPr>
              <w:t>1</w:t>
            </w:r>
            <w:r>
              <w:rPr>
                <w:rFonts w:cs="Times New Roman"/>
                <w:b w:val="0"/>
                <w:bCs w:val="0"/>
                <w:sz w:val="24"/>
                <w:szCs w:val="24"/>
              </w:rPr>
              <w:t>/T</w:t>
            </w:r>
            <w:r w:rsidRPr="00F26FA3">
              <w:rPr>
                <w:rFonts w:cs="Times New Roman"/>
                <w:b w:val="0"/>
                <w:bCs w:val="0"/>
                <w:sz w:val="24"/>
                <w:szCs w:val="24"/>
                <w:vertAlign w:val="subscript"/>
              </w:rPr>
              <w:t>1</w:t>
            </w:r>
            <w:r>
              <w:rPr>
                <w:rFonts w:cs="Times New Roman"/>
                <w:b w:val="0"/>
                <w:bCs w:val="0"/>
                <w:sz w:val="24"/>
                <w:szCs w:val="24"/>
              </w:rPr>
              <w:t>=P</w:t>
            </w:r>
            <w:r w:rsidRPr="00F26FA3">
              <w:rPr>
                <w:rFonts w:cs="Times New Roman"/>
                <w:b w:val="0"/>
                <w:bCs w:val="0"/>
                <w:sz w:val="24"/>
                <w:szCs w:val="24"/>
                <w:vertAlign w:val="subscript"/>
              </w:rPr>
              <w:t>2</w:t>
            </w:r>
            <w:r>
              <w:rPr>
                <w:rFonts w:cs="Times New Roman"/>
                <w:b w:val="0"/>
                <w:bCs w:val="0"/>
                <w:sz w:val="24"/>
                <w:szCs w:val="24"/>
              </w:rPr>
              <w:t>V</w:t>
            </w:r>
            <w:r w:rsidRPr="00F26FA3">
              <w:rPr>
                <w:rFonts w:cs="Times New Roman"/>
                <w:b w:val="0"/>
                <w:bCs w:val="0"/>
                <w:sz w:val="24"/>
                <w:szCs w:val="24"/>
                <w:vertAlign w:val="subscript"/>
              </w:rPr>
              <w:t>2</w:t>
            </w:r>
            <w:r>
              <w:rPr>
                <w:rFonts w:cs="Times New Roman"/>
                <w:b w:val="0"/>
                <w:bCs w:val="0"/>
                <w:sz w:val="24"/>
                <w:szCs w:val="24"/>
              </w:rPr>
              <w:t>/T</w:t>
            </w:r>
            <w:r w:rsidRPr="00F26FA3">
              <w:rPr>
                <w:rFonts w:cs="Times New Roman"/>
                <w:b w:val="0"/>
                <w:bCs w:val="0"/>
                <w:sz w:val="24"/>
                <w:szCs w:val="24"/>
                <w:vertAlign w:val="subscript"/>
              </w:rPr>
              <w:t>2</w:t>
            </w:r>
          </w:p>
        </w:tc>
        <w:tc>
          <w:tcPr>
            <w:tcW w:w="2150" w:type="dxa"/>
          </w:tcPr>
          <w:p w14:paraId="3733EA86" w14:textId="660F78E8" w:rsidR="00F26FA3" w:rsidRPr="00735940" w:rsidRDefault="00F26FA3" w:rsidP="007F7803">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cs="Times New Roman"/>
                <w:b w:val="0"/>
                <w:bCs w:val="0"/>
              </w:rPr>
              <w:t>(</w:t>
            </w:r>
            <w:r>
              <w:rPr>
                <w:rFonts w:cs="Times New Roman"/>
                <w:b w:val="0"/>
                <w:bCs w:val="0"/>
              </w:rPr>
              <w:t>4</w:t>
            </w:r>
            <w:r w:rsidRPr="00735940">
              <w:rPr>
                <w:rFonts w:cs="Times New Roman"/>
                <w:b w:val="0"/>
                <w:bCs w:val="0"/>
              </w:rPr>
              <w:t>)</w:t>
            </w:r>
          </w:p>
        </w:tc>
      </w:tr>
    </w:tbl>
    <w:p w14:paraId="54CF60D3" w14:textId="77777777" w:rsidR="00963EFF" w:rsidRDefault="00963EFF" w:rsidP="00963EFF">
      <w:pPr>
        <w:spacing w:line="360" w:lineRule="auto"/>
        <w:jc w:val="both"/>
        <w:rPr>
          <w:rFonts w:eastAsiaTheme="minorEastAsia" w:cs="Times New Roman"/>
        </w:rPr>
      </w:pPr>
    </w:p>
    <w:p w14:paraId="6A1DF142" w14:textId="053C3FA4" w:rsidR="0056455D" w:rsidRPr="00735940" w:rsidRDefault="00A06ABA" w:rsidP="00F26FA3">
      <w:pPr>
        <w:spacing w:line="360" w:lineRule="auto"/>
        <w:ind w:firstLine="720"/>
        <w:jc w:val="both"/>
        <w:rPr>
          <w:rFonts w:eastAsiaTheme="minorEastAsia" w:cs="Times New Roman"/>
        </w:rPr>
      </w:pPr>
      <w:r>
        <w:rPr>
          <w:rFonts w:eastAsiaTheme="minorEastAsia" w:cs="Times New Roman"/>
        </w:rPr>
        <w:t>Argon and nitrogen are the monoatomic and diatomic gasses of choice as they have</w:t>
      </w:r>
      <w:r w:rsidR="00720294">
        <w:rPr>
          <w:rFonts w:eastAsiaTheme="minorEastAsia" w:cs="Times New Roman"/>
        </w:rPr>
        <w:t xml:space="preserve"> very small</w:t>
      </w:r>
      <w:r>
        <w:rPr>
          <w:rFonts w:eastAsiaTheme="minorEastAsia" w:cs="Times New Roman"/>
        </w:rPr>
        <w:t xml:space="preserve"> intermolecular interactions and take up relatively little space</w:t>
      </w:r>
      <w:r w:rsidR="00720294">
        <w:rPr>
          <w:rFonts w:eastAsiaTheme="minorEastAsia" w:cs="Times New Roman"/>
        </w:rPr>
        <w:t>. The gamma values will be calculated for each, compared to literature and expected values using statistical analysis</w:t>
      </w:r>
      <w:r w:rsidR="00D50C01">
        <w:rPr>
          <w:rFonts w:eastAsiaTheme="minorEastAsia" w:cs="Times New Roman"/>
        </w:rPr>
        <w:t>.</w:t>
      </w:r>
    </w:p>
    <w:p w14:paraId="04174EEC" w14:textId="36369ACC" w:rsidR="00F1658D" w:rsidRPr="00735940" w:rsidRDefault="00DE66A4" w:rsidP="00C900B3">
      <w:pPr>
        <w:pStyle w:val="Heading1"/>
      </w:pPr>
      <w:r w:rsidRPr="00735940">
        <w:lastRenderedPageBreak/>
        <w:t xml:space="preserve">Experimental Methods: </w:t>
      </w:r>
    </w:p>
    <w:p w14:paraId="0D3B5442" w14:textId="71AE06FC" w:rsidR="00F1658D" w:rsidRPr="00735940" w:rsidRDefault="002F0D7C" w:rsidP="000B5AB5">
      <w:pPr>
        <w:spacing w:after="240" w:line="360" w:lineRule="auto"/>
        <w:ind w:firstLine="720"/>
        <w:jc w:val="both"/>
        <w:rPr>
          <w:rFonts w:cs="Times New Roman"/>
        </w:rPr>
      </w:pPr>
      <w:r w:rsidRPr="00735940">
        <w:rPr>
          <w:noProof/>
        </w:rPr>
        <mc:AlternateContent>
          <mc:Choice Requires="wps">
            <w:drawing>
              <wp:anchor distT="0" distB="0" distL="114300" distR="114300" simplePos="0" relativeHeight="251659264" behindDoc="1" locked="0" layoutInCell="1" allowOverlap="1" wp14:anchorId="350BADFB" wp14:editId="25899841">
                <wp:simplePos x="0" y="0"/>
                <wp:positionH relativeFrom="margin">
                  <wp:posOffset>3453130</wp:posOffset>
                </wp:positionH>
                <wp:positionV relativeFrom="paragraph">
                  <wp:posOffset>2347254</wp:posOffset>
                </wp:positionV>
                <wp:extent cx="2932430" cy="654685"/>
                <wp:effectExtent l="0" t="0" r="1270" b="12065"/>
                <wp:wrapSquare wrapText="bothSides"/>
                <wp:docPr id="2" name="Text Box 2"/>
                <wp:cNvGraphicFramePr/>
                <a:graphic xmlns:a="http://schemas.openxmlformats.org/drawingml/2006/main">
                  <a:graphicData uri="http://schemas.microsoft.com/office/word/2010/wordprocessingShape">
                    <wps:wsp>
                      <wps:cNvSpPr txBox="1"/>
                      <wps:spPr>
                        <a:xfrm>
                          <a:off x="0" y="0"/>
                          <a:ext cx="2932430" cy="654685"/>
                        </a:xfrm>
                        <a:prstGeom prst="rect">
                          <a:avLst/>
                        </a:prstGeom>
                        <a:noFill/>
                        <a:ln>
                          <a:noFill/>
                        </a:ln>
                      </wps:spPr>
                      <wps:txbx>
                        <w:txbxContent>
                          <w:p w14:paraId="6D5FD9AA" w14:textId="4583EBD0" w:rsidR="00673304" w:rsidRPr="002A50D4" w:rsidRDefault="00673304" w:rsidP="002F0D7C">
                            <w:pPr>
                              <w:pStyle w:val="Caption"/>
                              <w:jc w:val="both"/>
                              <w:rPr>
                                <w:rFonts w:cs="Times New Roman"/>
                              </w:rPr>
                            </w:pPr>
                            <w:r w:rsidRPr="00A35ACD">
                              <w:rPr>
                                <w:b/>
                              </w:rPr>
                              <w:t xml:space="preserve">Figure </w:t>
                            </w:r>
                            <w:r w:rsidRPr="00A35ACD">
                              <w:rPr>
                                <w:b/>
                              </w:rPr>
                              <w:fldChar w:fldCharType="begin"/>
                            </w:r>
                            <w:r w:rsidRPr="00A35ACD">
                              <w:rPr>
                                <w:b/>
                              </w:rPr>
                              <w:instrText xml:space="preserve"> SEQ Figure \* ARABIC </w:instrText>
                            </w:r>
                            <w:r w:rsidRPr="00A35ACD">
                              <w:rPr>
                                <w:b/>
                              </w:rPr>
                              <w:fldChar w:fldCharType="separate"/>
                            </w:r>
                            <w:r w:rsidR="00A2664A">
                              <w:rPr>
                                <w:b/>
                                <w:noProof/>
                              </w:rPr>
                              <w:t>1</w:t>
                            </w:r>
                            <w:r w:rsidRPr="00A35ACD">
                              <w:rPr>
                                <w:b/>
                              </w:rPr>
                              <w:fldChar w:fldCharType="end"/>
                            </w:r>
                            <w:r w:rsidR="00A35ACD" w:rsidRPr="002A50D4">
                              <w:rPr>
                                <w:b/>
                              </w:rPr>
                              <w:t>.</w:t>
                            </w:r>
                            <w:r w:rsidRPr="002A50D4">
                              <w:t xml:space="preserve"> </w:t>
                            </w:r>
                            <w:r w:rsidR="0041565D" w:rsidRPr="002A50D4">
                              <w:t>V</w:t>
                            </w:r>
                            <w:r w:rsidRPr="002A50D4">
                              <w:t>essel with a gas canister to the left</w:t>
                            </w:r>
                            <w:r w:rsidR="005C1460" w:rsidRPr="002A50D4">
                              <w:t xml:space="preserve"> and pressure gauge to the right</w:t>
                            </w:r>
                            <w:r w:rsidR="00DB751E" w:rsidRPr="002A50D4">
                              <w:t>. The system is closed by a rubber stopper.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BADFB" id="_x0000_t202" coordsize="21600,21600" o:spt="202" path="m,l,21600r21600,l21600,xe">
                <v:stroke joinstyle="miter"/>
                <v:path gradientshapeok="t" o:connecttype="rect"/>
              </v:shapetype>
              <v:shape id="Text Box 2" o:spid="_x0000_s1026" type="#_x0000_t202" style="position:absolute;left:0;text-align:left;margin-left:271.9pt;margin-top:184.8pt;width:230.9pt;height:51.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" filled="f" stroked="f">
                <v:textbox inset="0,0,0,0">
                  <w:txbxContent>
                    <w:p w14:paraId="6D5FD9AA" w14:textId="4583EBD0" w:rsidR="00673304" w:rsidRPr="002A50D4" w:rsidRDefault="00673304" w:rsidP="002F0D7C">
                      <w:pPr>
                        <w:pStyle w:val="Caption"/>
                        <w:jc w:val="both"/>
                        <w:rPr>
                          <w:rFonts w:cs="Times New Roman"/>
                        </w:rPr>
                      </w:pPr>
                      <w:r w:rsidRPr="00A35ACD">
                        <w:rPr>
                          <w:b/>
                        </w:rPr>
                        <w:t xml:space="preserve">Figure </w:t>
                      </w:r>
                      <w:r w:rsidRPr="00A35ACD">
                        <w:rPr>
                          <w:b/>
                        </w:rPr>
                        <w:fldChar w:fldCharType="begin"/>
                      </w:r>
                      <w:r w:rsidRPr="00A35ACD">
                        <w:rPr>
                          <w:b/>
                        </w:rPr>
                        <w:instrText xml:space="preserve"> SEQ Figure \* ARABIC </w:instrText>
                      </w:r>
                      <w:r w:rsidRPr="00A35ACD">
                        <w:rPr>
                          <w:b/>
                        </w:rPr>
                        <w:fldChar w:fldCharType="separate"/>
                      </w:r>
                      <w:r w:rsidR="00A2664A">
                        <w:rPr>
                          <w:b/>
                          <w:noProof/>
                        </w:rPr>
                        <w:t>1</w:t>
                      </w:r>
                      <w:r w:rsidRPr="00A35ACD">
                        <w:rPr>
                          <w:b/>
                        </w:rPr>
                        <w:fldChar w:fldCharType="end"/>
                      </w:r>
                      <w:r w:rsidR="00A35ACD" w:rsidRPr="002A50D4">
                        <w:rPr>
                          <w:b/>
                        </w:rPr>
                        <w:t>.</w:t>
                      </w:r>
                      <w:r w:rsidRPr="002A50D4">
                        <w:t xml:space="preserve"> </w:t>
                      </w:r>
                      <w:r w:rsidR="0041565D" w:rsidRPr="002A50D4">
                        <w:t>V</w:t>
                      </w:r>
                      <w:r w:rsidRPr="002A50D4">
                        <w:t>essel with a gas canister to the left</w:t>
                      </w:r>
                      <w:r w:rsidR="005C1460" w:rsidRPr="002A50D4">
                        <w:t xml:space="preserve"> and pressure gauge to the right</w:t>
                      </w:r>
                      <w:r w:rsidR="00DB751E" w:rsidRPr="002A50D4">
                        <w:t>. The system is closed by a rubber stopper.</w:t>
                      </w:r>
                    </w:p>
                  </w:txbxContent>
                </v:textbox>
                <w10:wrap type="square" anchorx="margin"/>
              </v:shape>
            </w:pict>
          </mc:Fallback>
        </mc:AlternateContent>
      </w:r>
      <w:r w:rsidRPr="00735940">
        <w:rPr>
          <w:rFonts w:cs="Times New Roman"/>
          <w:noProof/>
        </w:rPr>
        <w:drawing>
          <wp:anchor distT="0" distB="0" distL="114300" distR="114300" simplePos="0" relativeHeight="251660288" behindDoc="1" locked="0" layoutInCell="1" allowOverlap="1" wp14:anchorId="4E3504D4" wp14:editId="70B9DC17">
            <wp:simplePos x="0" y="0"/>
            <wp:positionH relativeFrom="margin">
              <wp:posOffset>3449007</wp:posOffset>
            </wp:positionH>
            <wp:positionV relativeFrom="paragraph">
              <wp:posOffset>19742</wp:posOffset>
            </wp:positionV>
            <wp:extent cx="2936875" cy="2179320"/>
            <wp:effectExtent l="0" t="0" r="0" b="0"/>
            <wp:wrapTight wrapText="bothSides">
              <wp:wrapPolygon edited="0">
                <wp:start x="21600" y="21600"/>
                <wp:lineTo x="21600" y="264"/>
                <wp:lineTo x="163" y="264"/>
                <wp:lineTo x="163"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93687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460">
        <w:rPr>
          <w:rFonts w:cs="Times New Roman"/>
        </w:rPr>
        <w:t xml:space="preserve">The apparatus consists of a 5-gallon jug connected to a pressure gauge and gas cylinder. The </w:t>
      </w:r>
      <w:r w:rsidR="00DE66A4" w:rsidRPr="00735940">
        <w:rPr>
          <w:rFonts w:cs="Times New Roman"/>
        </w:rPr>
        <w:t>5-gallon glass jug was used as a vessel</w:t>
      </w:r>
      <w:r w:rsidR="00A35ACD">
        <w:rPr>
          <w:rFonts w:cs="Times New Roman"/>
        </w:rPr>
        <w:t xml:space="preserve"> to contain argon and nitrogen for the process. </w:t>
      </w:r>
      <w:r w:rsidR="00B37E72">
        <w:rPr>
          <w:rFonts w:cs="Times New Roman"/>
        </w:rPr>
        <w:t>This</w:t>
      </w:r>
      <w:r w:rsidR="00A35ACD">
        <w:rPr>
          <w:rFonts w:cs="Times New Roman"/>
        </w:rPr>
        <w:t xml:space="preserve"> was defined as the system. </w:t>
      </w:r>
      <w:r w:rsidR="00DE66A4" w:rsidRPr="00735940">
        <w:rPr>
          <w:rFonts w:cs="Times New Roman"/>
        </w:rPr>
        <w:t>Before beginning the experiment, the vessel was filled with either argon or nitrogen. The procedure for both was identical: the vessel was lowered upside down into a water bath with a tube allowing air in the vessel to be displaced by the water. The same tube was plugged into a regulator on the gas cylinder and the gas was allowed to displace the water in vessel until gas flowed freely out the surface of the water. The vessel was quickly raised out of the water bath and capped with the</w:t>
      </w:r>
      <w:r w:rsidR="006B2DB3">
        <w:rPr>
          <w:rFonts w:cs="Times New Roman"/>
        </w:rPr>
        <w:t xml:space="preserve"> 3-holed</w:t>
      </w:r>
      <w:r w:rsidR="00DE66A4" w:rsidRPr="00735940">
        <w:rPr>
          <w:rFonts w:cs="Times New Roman"/>
        </w:rPr>
        <w:t xml:space="preserve"> rubber stopper.</w:t>
      </w:r>
      <w:r w:rsidR="006B2DB3">
        <w:rPr>
          <w:rFonts w:cs="Times New Roman"/>
        </w:rPr>
        <w:t xml:space="preserve"> All tubes were connected as shown in figure 1.</w:t>
      </w:r>
      <w:r w:rsidR="00DE66A4" w:rsidRPr="00735940">
        <w:rPr>
          <w:rFonts w:cs="Times New Roman"/>
        </w:rPr>
        <w:t xml:space="preserve"> Tube </w:t>
      </w:r>
      <w:r w:rsidR="00673304" w:rsidRPr="00735940">
        <w:rPr>
          <w:rFonts w:cs="Times New Roman"/>
        </w:rPr>
        <w:t>C</w:t>
      </w:r>
      <w:r w:rsidR="00DE66A4" w:rsidRPr="00735940">
        <w:rPr>
          <w:rFonts w:cs="Times New Roman"/>
        </w:rPr>
        <w:t xml:space="preserve"> was attached to a digital pressure gauge to determine the difference between ambient atmospheric pressure and the pressure in the vessel</w:t>
      </w:r>
      <w:r w:rsidR="00B37E72">
        <w:rPr>
          <w:rFonts w:cs="Times New Roman"/>
        </w:rPr>
        <w:t xml:space="preserve"> </w:t>
      </w:r>
      <w:r w:rsidR="00B37E72" w:rsidRPr="00735940">
        <w:rPr>
          <w:color w:val="000000"/>
        </w:rPr>
        <w:t>P</w:t>
      </w:r>
      <w:r w:rsidR="00B37E72" w:rsidRPr="00735940">
        <w:rPr>
          <w:color w:val="000000"/>
          <w:vertAlign w:val="subscript"/>
        </w:rPr>
        <w:t>gauge</w:t>
      </w:r>
      <w:r w:rsidR="00DE66A4" w:rsidRPr="00735940">
        <w:rPr>
          <w:rFonts w:cs="Times New Roman"/>
        </w:rPr>
        <w:t xml:space="preserve">. Tube </w:t>
      </w:r>
      <w:r w:rsidR="00673304" w:rsidRPr="00735940">
        <w:rPr>
          <w:rFonts w:cs="Times New Roman"/>
        </w:rPr>
        <w:t>A</w:t>
      </w:r>
      <w:r w:rsidR="00DE66A4" w:rsidRPr="00735940">
        <w:rPr>
          <w:rFonts w:cs="Times New Roman"/>
        </w:rPr>
        <w:t xml:space="preserve"> was attached to the gas canister and tube </w:t>
      </w:r>
      <w:r w:rsidR="00673304" w:rsidRPr="00735940">
        <w:rPr>
          <w:rFonts w:cs="Times New Roman"/>
        </w:rPr>
        <w:t>B</w:t>
      </w:r>
      <w:r w:rsidR="00DE66A4" w:rsidRPr="00735940">
        <w:rPr>
          <w:rFonts w:cs="Times New Roman"/>
        </w:rPr>
        <w:t xml:space="preserve"> was clamped closed.</w:t>
      </w:r>
    </w:p>
    <w:p w14:paraId="7EA83A6C" w14:textId="149C65B4" w:rsidR="000B5AB5" w:rsidRPr="00735940" w:rsidRDefault="00DE66A4" w:rsidP="000B5AB5">
      <w:pPr>
        <w:spacing w:after="240" w:line="360" w:lineRule="auto"/>
        <w:ind w:firstLine="720"/>
        <w:jc w:val="both"/>
        <w:rPr>
          <w:rFonts w:cs="Times New Roman"/>
        </w:rPr>
      </w:pPr>
      <w:r w:rsidRPr="00735940">
        <w:rPr>
          <w:rFonts w:cs="Times New Roman"/>
        </w:rPr>
        <w:t>The vessel was pressurized to around 1.6 psi above atmospheric and allowed to return to room temperature. The pressure was checked again to ensure 1.6 psi after thermal contraction and to ensure there were no leaks in the system. The pressure P</w:t>
      </w:r>
      <w:r w:rsidRPr="00735940">
        <w:rPr>
          <w:rFonts w:cs="Times New Roman"/>
          <w:vertAlign w:val="subscript"/>
        </w:rPr>
        <w:t>1</w:t>
      </w:r>
      <w:r w:rsidRPr="00735940">
        <w:rPr>
          <w:rFonts w:cs="Times New Roman"/>
        </w:rPr>
        <w:t xml:space="preserve"> was recorded. The gas was allowed to adiabatically expand by quickly unclamping tube C and reclamping it. After </w:t>
      </w:r>
      <w:r w:rsidR="00871255" w:rsidRPr="00735940">
        <w:rPr>
          <w:rFonts w:cs="Times New Roman"/>
        </w:rPr>
        <w:t>thermal</w:t>
      </w:r>
      <w:r w:rsidRPr="00735940">
        <w:rPr>
          <w:rFonts w:cs="Times New Roman"/>
        </w:rPr>
        <w:t xml:space="preserve"> equilibrium</w:t>
      </w:r>
      <w:r w:rsidR="00851DF7">
        <w:rPr>
          <w:rFonts w:cs="Times New Roman"/>
        </w:rPr>
        <w:t xml:space="preserve"> was achieved,</w:t>
      </w:r>
      <w:r w:rsidRPr="00735940">
        <w:rPr>
          <w:rFonts w:cs="Times New Roman"/>
        </w:rPr>
        <w:t xml:space="preserve"> the pressure P</w:t>
      </w:r>
      <w:r w:rsidRPr="00735940">
        <w:rPr>
          <w:rFonts w:cs="Times New Roman"/>
          <w:vertAlign w:val="subscript"/>
        </w:rPr>
        <w:t>3</w:t>
      </w:r>
      <w:r w:rsidRPr="00735940">
        <w:rPr>
          <w:rFonts w:cs="Times New Roman"/>
        </w:rPr>
        <w:t xml:space="preserve"> was measured. Two trials of nitrogen and two of Argon were completed. Between trials 2 and 3, the atmospheric pressure P</w:t>
      </w:r>
      <w:r w:rsidRPr="00735940">
        <w:rPr>
          <w:rFonts w:cs="Times New Roman"/>
          <w:vertAlign w:val="subscript"/>
        </w:rPr>
        <w:t>2</w:t>
      </w:r>
      <w:r w:rsidRPr="00735940">
        <w:rPr>
          <w:rFonts w:cs="Times New Roman"/>
        </w:rPr>
        <w:t xml:space="preserve"> was </w:t>
      </w:r>
      <w:r w:rsidR="002F0D7C">
        <w:rPr>
          <w:rFonts w:cs="Times New Roman"/>
        </w:rPr>
        <w:t>gathered using some trustworthy information source</w:t>
      </w:r>
      <w:r w:rsidRPr="00735940">
        <w:rPr>
          <w:rFonts w:cs="Times New Roman"/>
        </w:rPr>
        <w:t xml:space="preserve"> for later calculations.</w:t>
      </w:r>
    </w:p>
    <w:p w14:paraId="6E3C7D09" w14:textId="77777777" w:rsidR="00F26FA3" w:rsidRDefault="00F26FA3">
      <w:pPr>
        <w:rPr>
          <w:rFonts w:eastAsiaTheme="majorEastAsia" w:cstheme="majorBidi"/>
          <w:color w:val="2F5496" w:themeColor="accent1" w:themeShade="BF"/>
          <w:sz w:val="32"/>
          <w:szCs w:val="32"/>
        </w:rPr>
      </w:pPr>
      <w:r>
        <w:br w:type="page"/>
      </w:r>
    </w:p>
    <w:p w14:paraId="7752E886" w14:textId="3F6DB16D" w:rsidR="00CB1500" w:rsidRPr="00735940" w:rsidRDefault="00CB1500" w:rsidP="00C900B3">
      <w:pPr>
        <w:pStyle w:val="Heading1"/>
      </w:pPr>
      <w:r w:rsidRPr="00735940">
        <w:lastRenderedPageBreak/>
        <w:t xml:space="preserve">Data and </w:t>
      </w:r>
      <w:r w:rsidR="00DE66A4" w:rsidRPr="00735940">
        <w:t>Results:</w:t>
      </w:r>
    </w:p>
    <w:p w14:paraId="47A0C7A7" w14:textId="7485D842" w:rsidR="00CB1500" w:rsidRPr="00F26FA3" w:rsidRDefault="00CB1500" w:rsidP="00A97FFE">
      <w:pPr>
        <w:pStyle w:val="Caption"/>
        <w:jc w:val="both"/>
        <w:rPr>
          <w:b/>
        </w:rPr>
      </w:pPr>
      <w:r w:rsidRPr="00262A2C">
        <w:rPr>
          <w:b/>
        </w:rPr>
        <w:t xml:space="preserve">Table </w:t>
      </w:r>
      <w:r w:rsidR="001058D0" w:rsidRPr="00262A2C">
        <w:rPr>
          <w:b/>
        </w:rPr>
        <w:fldChar w:fldCharType="begin"/>
      </w:r>
      <w:r w:rsidR="001058D0" w:rsidRPr="00262A2C">
        <w:rPr>
          <w:b/>
        </w:rPr>
        <w:instrText xml:space="preserve"> SEQ Table \* ARABIC </w:instrText>
      </w:r>
      <w:r w:rsidR="001058D0" w:rsidRPr="00262A2C">
        <w:rPr>
          <w:b/>
        </w:rPr>
        <w:fldChar w:fldCharType="separate"/>
      </w:r>
      <w:r w:rsidR="00A2664A">
        <w:rPr>
          <w:b/>
          <w:noProof/>
        </w:rPr>
        <w:t>1</w:t>
      </w:r>
      <w:r w:rsidR="001058D0" w:rsidRPr="00262A2C">
        <w:rPr>
          <w:b/>
          <w:noProof/>
        </w:rPr>
        <w:fldChar w:fldCharType="end"/>
      </w:r>
      <w:r w:rsidR="00262A2C" w:rsidRPr="00262A2C">
        <w:rPr>
          <w:b/>
        </w:rPr>
        <w:t>.</w:t>
      </w:r>
      <w:r w:rsidR="000615E3" w:rsidRPr="000615E3">
        <w:rPr>
          <w:b/>
        </w:rPr>
        <w:t xml:space="preserve"> </w:t>
      </w:r>
      <w:r w:rsidR="00262A2C" w:rsidRPr="002A50D4">
        <w:t>Data</w:t>
      </w:r>
      <w:r w:rsidR="00C80971" w:rsidRPr="002A50D4">
        <w:t xml:space="preserve"> and calculations for gamma with uncertaint</w:t>
      </w:r>
      <w:r w:rsidR="00A06ABA">
        <w:t>ies</w:t>
      </w:r>
      <w:r w:rsidR="00C80971" w:rsidRPr="002A50D4">
        <w:t>.</w:t>
      </w:r>
      <w:r w:rsidR="00A97FFE">
        <w:t xml:space="preserve"> P</w:t>
      </w:r>
      <w:r w:rsidR="00A97FFE" w:rsidRPr="00A97FFE">
        <w:rPr>
          <w:vertAlign w:val="subscript"/>
        </w:rPr>
        <w:t>3</w:t>
      </w:r>
      <w:r w:rsidR="00A97FFE">
        <w:rPr>
          <w:vertAlign w:val="subscript"/>
        </w:rPr>
        <w:t xml:space="preserve"> </w:t>
      </w:r>
      <w:r w:rsidR="00A97FFE">
        <w:rPr>
          <w:vertAlign w:val="subscript"/>
        </w:rPr>
        <w:softHyphen/>
      </w:r>
      <w:r w:rsidR="00A97FFE">
        <w:t xml:space="preserve">for argon is higher on average which corresponds to the difference in gamma values for nitrogen and argon. The argon trial 1 seems to be a statistical error though as it </w:t>
      </w:r>
      <w:r w:rsidR="00F26FA3">
        <w:t>has a lower P</w:t>
      </w:r>
      <w:r w:rsidR="00F26FA3" w:rsidRPr="00F26FA3">
        <w:rPr>
          <w:vertAlign w:val="subscript"/>
        </w:rPr>
        <w:t>3</w:t>
      </w:r>
      <w:r w:rsidR="00F26FA3">
        <w:rPr>
          <w:vertAlign w:val="subscript"/>
        </w:rPr>
        <w:t xml:space="preserve"> </w:t>
      </w:r>
      <w:r w:rsidR="00F26FA3">
        <w:t>than either nitrogen trial.</w:t>
      </w:r>
      <w:r w:rsidR="007E1BAB">
        <w:t xml:space="preserve"> The temperature drop for each is similar.</w:t>
      </w:r>
    </w:p>
    <w:tbl>
      <w:tblPr>
        <w:tblW w:w="100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34"/>
        <w:gridCol w:w="1350"/>
        <w:gridCol w:w="1530"/>
        <w:gridCol w:w="1530"/>
        <w:gridCol w:w="1800"/>
        <w:gridCol w:w="1248"/>
      </w:tblGrid>
      <w:tr w:rsidR="00963EFF" w:rsidRPr="00735940" w14:paraId="53B75DFE" w14:textId="77777777" w:rsidTr="00963EFF">
        <w:trPr>
          <w:trHeight w:val="290"/>
        </w:trPr>
        <w:tc>
          <w:tcPr>
            <w:tcW w:w="1176" w:type="dxa"/>
            <w:shd w:val="clear" w:color="auto" w:fill="auto"/>
            <w:vAlign w:val="center"/>
            <w:hideMark/>
          </w:tcPr>
          <w:p w14:paraId="42AF4C53" w14:textId="77777777" w:rsidR="00AB165E" w:rsidRPr="00735940" w:rsidRDefault="00AB165E" w:rsidP="00AB7712">
            <w:pPr>
              <w:rPr>
                <w:color w:val="000000"/>
              </w:rPr>
            </w:pPr>
            <w:r w:rsidRPr="00735940">
              <w:rPr>
                <w:color w:val="000000"/>
              </w:rPr>
              <w:t> </w:t>
            </w:r>
          </w:p>
        </w:tc>
        <w:tc>
          <w:tcPr>
            <w:tcW w:w="1434" w:type="dxa"/>
            <w:shd w:val="clear" w:color="auto" w:fill="auto"/>
            <w:vAlign w:val="center"/>
            <w:hideMark/>
          </w:tcPr>
          <w:p w14:paraId="5A0FD881" w14:textId="77777777" w:rsidR="00AB165E" w:rsidRPr="00735940" w:rsidRDefault="00AB165E" w:rsidP="00AB7712">
            <w:pPr>
              <w:rPr>
                <w:color w:val="000000"/>
              </w:rPr>
            </w:pPr>
            <w:r w:rsidRPr="00735940">
              <w:rPr>
                <w:color w:val="000000"/>
              </w:rPr>
              <w:t>P</w:t>
            </w:r>
            <w:r w:rsidRPr="00735940">
              <w:rPr>
                <w:color w:val="000000"/>
                <w:vertAlign w:val="subscript"/>
              </w:rPr>
              <w:t xml:space="preserve">1, gauge </w:t>
            </w:r>
            <w:r w:rsidRPr="00735940">
              <w:rPr>
                <w:color w:val="000000"/>
              </w:rPr>
              <w:t>(psi)</w:t>
            </w:r>
          </w:p>
        </w:tc>
        <w:tc>
          <w:tcPr>
            <w:tcW w:w="1350" w:type="dxa"/>
            <w:shd w:val="clear" w:color="auto" w:fill="auto"/>
            <w:vAlign w:val="center"/>
            <w:hideMark/>
          </w:tcPr>
          <w:p w14:paraId="2CF1AA3A" w14:textId="77777777" w:rsidR="00AB165E" w:rsidRPr="00735940" w:rsidRDefault="00AB165E" w:rsidP="00AB7712">
            <w:pPr>
              <w:rPr>
                <w:color w:val="000000"/>
              </w:rPr>
            </w:pPr>
            <w:r w:rsidRPr="00735940">
              <w:rPr>
                <w:color w:val="000000"/>
              </w:rPr>
              <w:t>P</w:t>
            </w:r>
            <w:r w:rsidRPr="00735940">
              <w:rPr>
                <w:color w:val="000000"/>
                <w:vertAlign w:val="subscript"/>
              </w:rPr>
              <w:t xml:space="preserve">3, gauge </w:t>
            </w:r>
            <w:r w:rsidRPr="00735940">
              <w:rPr>
                <w:color w:val="000000"/>
              </w:rPr>
              <w:t>(psi)</w:t>
            </w:r>
          </w:p>
        </w:tc>
        <w:tc>
          <w:tcPr>
            <w:tcW w:w="1530" w:type="dxa"/>
            <w:shd w:val="clear" w:color="auto" w:fill="auto"/>
            <w:vAlign w:val="center"/>
            <w:hideMark/>
          </w:tcPr>
          <w:p w14:paraId="4E1C32FC" w14:textId="77777777" w:rsidR="00AB165E" w:rsidRPr="00735940" w:rsidRDefault="00AB165E" w:rsidP="00AB7712">
            <w:pPr>
              <w:rPr>
                <w:color w:val="000000"/>
              </w:rPr>
            </w:pPr>
            <w:r w:rsidRPr="00735940">
              <w:rPr>
                <w:color w:val="000000"/>
              </w:rPr>
              <w:t>P</w:t>
            </w:r>
            <w:r w:rsidRPr="00735940">
              <w:rPr>
                <w:color w:val="000000"/>
                <w:vertAlign w:val="subscript"/>
              </w:rPr>
              <w:t xml:space="preserve">1 </w:t>
            </w:r>
            <w:r w:rsidRPr="00735940">
              <w:rPr>
                <w:color w:val="000000"/>
              </w:rPr>
              <w:t>(psi)</w:t>
            </w:r>
          </w:p>
        </w:tc>
        <w:tc>
          <w:tcPr>
            <w:tcW w:w="1530" w:type="dxa"/>
            <w:shd w:val="clear" w:color="auto" w:fill="auto"/>
            <w:vAlign w:val="center"/>
            <w:hideMark/>
          </w:tcPr>
          <w:p w14:paraId="2ADCC511" w14:textId="77777777" w:rsidR="00AB165E" w:rsidRPr="00735940" w:rsidRDefault="00AB165E" w:rsidP="00AB7712">
            <w:pPr>
              <w:rPr>
                <w:color w:val="000000"/>
              </w:rPr>
            </w:pPr>
            <w:r w:rsidRPr="00735940">
              <w:rPr>
                <w:color w:val="000000"/>
              </w:rPr>
              <w:t>P</w:t>
            </w:r>
            <w:r w:rsidRPr="00735940">
              <w:rPr>
                <w:color w:val="000000"/>
                <w:vertAlign w:val="subscript"/>
              </w:rPr>
              <w:t xml:space="preserve">3 </w:t>
            </w:r>
            <w:r w:rsidRPr="00735940">
              <w:rPr>
                <w:color w:val="000000"/>
              </w:rPr>
              <w:t>(psi)</w:t>
            </w:r>
          </w:p>
        </w:tc>
        <w:tc>
          <w:tcPr>
            <w:tcW w:w="1800" w:type="dxa"/>
          </w:tcPr>
          <w:p w14:paraId="169D8225" w14:textId="10A86119" w:rsidR="00AB165E" w:rsidRPr="00735940" w:rsidRDefault="00963EFF" w:rsidP="00AB7712">
            <w:pPr>
              <w:rPr>
                <w:color w:val="000000"/>
              </w:rPr>
            </w:pPr>
            <m:oMathPara>
              <m:oMath>
                <m:r>
                  <m:rPr>
                    <m:sty m:val="p"/>
                  </m:rPr>
                  <w:rPr>
                    <w:rFonts w:ascii="Cambria Math" w:hAnsi="Cambria Math"/>
                    <w:color w:val="000000"/>
                  </w:rPr>
                  <m:t>Δ</m:t>
                </m:r>
                <m:r>
                  <m:rPr>
                    <m:sty m:val="p"/>
                  </m:rPr>
                  <w:rPr>
                    <w:rFonts w:ascii="Cambria Math" w:hAnsi="Cambria Math"/>
                    <w:color w:val="000000"/>
                  </w:rPr>
                  <m:t>T(K)</m:t>
                </m:r>
              </m:oMath>
            </m:oMathPara>
          </w:p>
        </w:tc>
        <w:tc>
          <w:tcPr>
            <w:tcW w:w="1248" w:type="dxa"/>
            <w:shd w:val="clear" w:color="auto" w:fill="auto"/>
            <w:vAlign w:val="center"/>
            <w:hideMark/>
          </w:tcPr>
          <w:p w14:paraId="7280D6A5" w14:textId="62273EB5" w:rsidR="00AB165E" w:rsidRPr="00735940" w:rsidRDefault="00AB165E" w:rsidP="00AB7712">
            <w:pPr>
              <w:rPr>
                <w:color w:val="000000"/>
              </w:rPr>
            </w:pPr>
            <w:r w:rsidRPr="00735940">
              <w:rPr>
                <w:color w:val="000000"/>
              </w:rPr>
              <w:t>γ</w:t>
            </w:r>
          </w:p>
        </w:tc>
      </w:tr>
      <w:tr w:rsidR="00963EFF" w:rsidRPr="00735940" w14:paraId="775B3596" w14:textId="77777777" w:rsidTr="008F500C">
        <w:trPr>
          <w:trHeight w:val="613"/>
        </w:trPr>
        <w:tc>
          <w:tcPr>
            <w:tcW w:w="1176" w:type="dxa"/>
            <w:shd w:val="clear" w:color="auto" w:fill="auto"/>
            <w:vAlign w:val="center"/>
            <w:hideMark/>
          </w:tcPr>
          <w:p w14:paraId="3C9DC266" w14:textId="77777777" w:rsidR="00AB165E" w:rsidRPr="00735940" w:rsidRDefault="00AB165E" w:rsidP="00AB7712">
            <w:pPr>
              <w:rPr>
                <w:color w:val="000000"/>
              </w:rPr>
            </w:pPr>
            <w:r w:rsidRPr="00735940">
              <w:rPr>
                <w:color w:val="000000"/>
              </w:rPr>
              <w:t>N</w:t>
            </w:r>
            <w:r w:rsidRPr="00735940">
              <w:rPr>
                <w:color w:val="000000"/>
                <w:vertAlign w:val="subscript"/>
              </w:rPr>
              <w:t>2</w:t>
            </w:r>
            <w:r w:rsidRPr="00735940">
              <w:rPr>
                <w:color w:val="000000"/>
              </w:rPr>
              <w:t xml:space="preserve"> trial 1</w:t>
            </w:r>
          </w:p>
        </w:tc>
        <w:tc>
          <w:tcPr>
            <w:tcW w:w="1434" w:type="dxa"/>
            <w:shd w:val="clear" w:color="auto" w:fill="auto"/>
            <w:vAlign w:val="center"/>
            <w:hideMark/>
          </w:tcPr>
          <w:p w14:paraId="0B3796D4" w14:textId="77777777" w:rsidR="00AB165E" w:rsidRPr="00735940" w:rsidRDefault="00AB165E" w:rsidP="00AB7712">
            <w:pPr>
              <w:rPr>
                <w:color w:val="000000"/>
              </w:rPr>
            </w:pPr>
            <w:r w:rsidRPr="00735940">
              <w:rPr>
                <w:color w:val="000000"/>
              </w:rPr>
              <w:t>1.66±0.01</w:t>
            </w:r>
          </w:p>
        </w:tc>
        <w:tc>
          <w:tcPr>
            <w:tcW w:w="1350" w:type="dxa"/>
            <w:shd w:val="clear" w:color="auto" w:fill="auto"/>
            <w:vAlign w:val="center"/>
            <w:hideMark/>
          </w:tcPr>
          <w:p w14:paraId="6EA1F956" w14:textId="77777777" w:rsidR="00AB165E" w:rsidRPr="00735940" w:rsidRDefault="00AB165E" w:rsidP="00AB7712">
            <w:pPr>
              <w:rPr>
                <w:color w:val="000000"/>
              </w:rPr>
            </w:pPr>
            <w:r w:rsidRPr="00735940">
              <w:rPr>
                <w:color w:val="000000"/>
              </w:rPr>
              <w:t>0.45±0.01</w:t>
            </w:r>
          </w:p>
        </w:tc>
        <w:tc>
          <w:tcPr>
            <w:tcW w:w="1530" w:type="dxa"/>
            <w:shd w:val="clear" w:color="auto" w:fill="auto"/>
            <w:vAlign w:val="center"/>
            <w:hideMark/>
          </w:tcPr>
          <w:p w14:paraId="56E74C88" w14:textId="77777777" w:rsidR="00AB165E" w:rsidRPr="00735940" w:rsidRDefault="00AB165E" w:rsidP="00AB7712">
            <w:pPr>
              <w:rPr>
                <w:color w:val="000000"/>
              </w:rPr>
            </w:pPr>
            <w:r w:rsidRPr="00735940">
              <w:rPr>
                <w:color w:val="000000"/>
              </w:rPr>
              <w:t>16.409±0.006</w:t>
            </w:r>
          </w:p>
        </w:tc>
        <w:tc>
          <w:tcPr>
            <w:tcW w:w="1530" w:type="dxa"/>
            <w:shd w:val="clear" w:color="auto" w:fill="auto"/>
            <w:vAlign w:val="center"/>
            <w:hideMark/>
          </w:tcPr>
          <w:p w14:paraId="026FD3A7" w14:textId="77777777" w:rsidR="00AB165E" w:rsidRPr="00735940" w:rsidRDefault="00AB165E" w:rsidP="008F500C">
            <w:pPr>
              <w:jc w:val="center"/>
              <w:rPr>
                <w:color w:val="000000"/>
              </w:rPr>
            </w:pPr>
            <w:r w:rsidRPr="00735940">
              <w:rPr>
                <w:color w:val="000000"/>
              </w:rPr>
              <w:t>15.20±0.02</w:t>
            </w:r>
          </w:p>
        </w:tc>
        <w:tc>
          <w:tcPr>
            <w:tcW w:w="1800" w:type="dxa"/>
            <w:vAlign w:val="center"/>
          </w:tcPr>
          <w:p w14:paraId="2E730380" w14:textId="3F89048F" w:rsidR="00AB165E" w:rsidRPr="00735940" w:rsidRDefault="00F010AC" w:rsidP="008F500C">
            <w:pPr>
              <w:jc w:val="center"/>
              <w:rPr>
                <w:color w:val="000000"/>
              </w:rPr>
            </w:pPr>
            <w:r>
              <w:rPr>
                <w:color w:val="000000"/>
              </w:rPr>
              <w:t>-29.8</w:t>
            </w:r>
            <w:r w:rsidR="008F500C" w:rsidRPr="00735940">
              <w:rPr>
                <w:color w:val="000000"/>
              </w:rPr>
              <w:t>±</w:t>
            </w:r>
            <w:r w:rsidR="008F500C">
              <w:rPr>
                <w:color w:val="000000"/>
              </w:rPr>
              <w:t>.2</w:t>
            </w:r>
          </w:p>
        </w:tc>
        <w:tc>
          <w:tcPr>
            <w:tcW w:w="1248" w:type="dxa"/>
            <w:shd w:val="clear" w:color="auto" w:fill="auto"/>
            <w:vAlign w:val="center"/>
            <w:hideMark/>
          </w:tcPr>
          <w:p w14:paraId="171763C5" w14:textId="3396777F" w:rsidR="00AB165E" w:rsidRPr="00735940" w:rsidRDefault="00AB165E" w:rsidP="008F500C">
            <w:pPr>
              <w:jc w:val="center"/>
              <w:rPr>
                <w:color w:val="000000"/>
              </w:rPr>
            </w:pPr>
            <w:r w:rsidRPr="00735940">
              <w:rPr>
                <w:color w:val="000000"/>
              </w:rPr>
              <w:t>1.39±0.08</w:t>
            </w:r>
          </w:p>
        </w:tc>
      </w:tr>
      <w:tr w:rsidR="00963EFF" w:rsidRPr="00735940" w14:paraId="1E2B20F8" w14:textId="77777777" w:rsidTr="008F500C">
        <w:trPr>
          <w:trHeight w:val="584"/>
        </w:trPr>
        <w:tc>
          <w:tcPr>
            <w:tcW w:w="1176" w:type="dxa"/>
            <w:shd w:val="clear" w:color="auto" w:fill="auto"/>
            <w:vAlign w:val="center"/>
            <w:hideMark/>
          </w:tcPr>
          <w:p w14:paraId="0123B51B" w14:textId="77777777" w:rsidR="00AB165E" w:rsidRPr="00735940" w:rsidRDefault="00AB165E" w:rsidP="00AB7712">
            <w:pPr>
              <w:rPr>
                <w:color w:val="000000"/>
              </w:rPr>
            </w:pPr>
            <w:r w:rsidRPr="00735940">
              <w:rPr>
                <w:color w:val="000000"/>
              </w:rPr>
              <w:t>N</w:t>
            </w:r>
            <w:r w:rsidRPr="00735940">
              <w:rPr>
                <w:color w:val="000000"/>
                <w:vertAlign w:val="subscript"/>
              </w:rPr>
              <w:t xml:space="preserve">2 </w:t>
            </w:r>
            <w:r w:rsidRPr="00735940">
              <w:rPr>
                <w:color w:val="000000"/>
              </w:rPr>
              <w:t>trial 2</w:t>
            </w:r>
          </w:p>
        </w:tc>
        <w:tc>
          <w:tcPr>
            <w:tcW w:w="1434" w:type="dxa"/>
            <w:shd w:val="clear" w:color="auto" w:fill="auto"/>
            <w:vAlign w:val="center"/>
            <w:hideMark/>
          </w:tcPr>
          <w:p w14:paraId="51E778CA" w14:textId="77777777" w:rsidR="00AB165E" w:rsidRPr="00735940" w:rsidRDefault="00AB165E" w:rsidP="00AB7712">
            <w:pPr>
              <w:rPr>
                <w:color w:val="000000"/>
              </w:rPr>
            </w:pPr>
            <w:r w:rsidRPr="00735940">
              <w:rPr>
                <w:color w:val="000000"/>
              </w:rPr>
              <w:t>1.64±0.01</w:t>
            </w:r>
          </w:p>
        </w:tc>
        <w:tc>
          <w:tcPr>
            <w:tcW w:w="1350" w:type="dxa"/>
            <w:shd w:val="clear" w:color="auto" w:fill="auto"/>
            <w:vAlign w:val="center"/>
            <w:hideMark/>
          </w:tcPr>
          <w:p w14:paraId="3811CF20" w14:textId="77777777" w:rsidR="00AB165E" w:rsidRPr="00735940" w:rsidRDefault="00AB165E" w:rsidP="00AB7712">
            <w:pPr>
              <w:rPr>
                <w:color w:val="000000"/>
              </w:rPr>
            </w:pPr>
            <w:r w:rsidRPr="00735940">
              <w:rPr>
                <w:color w:val="000000"/>
              </w:rPr>
              <w:t>0.43±0.01</w:t>
            </w:r>
          </w:p>
        </w:tc>
        <w:tc>
          <w:tcPr>
            <w:tcW w:w="1530" w:type="dxa"/>
            <w:shd w:val="clear" w:color="auto" w:fill="auto"/>
            <w:vAlign w:val="center"/>
            <w:hideMark/>
          </w:tcPr>
          <w:p w14:paraId="1E43D997" w14:textId="77777777" w:rsidR="00AB165E" w:rsidRPr="00735940" w:rsidRDefault="00AB165E" w:rsidP="00AB7712">
            <w:pPr>
              <w:rPr>
                <w:color w:val="000000"/>
              </w:rPr>
            </w:pPr>
            <w:r w:rsidRPr="00735940">
              <w:rPr>
                <w:color w:val="000000"/>
              </w:rPr>
              <w:t>16.389±0.006</w:t>
            </w:r>
          </w:p>
        </w:tc>
        <w:tc>
          <w:tcPr>
            <w:tcW w:w="1530" w:type="dxa"/>
            <w:shd w:val="clear" w:color="auto" w:fill="auto"/>
            <w:vAlign w:val="center"/>
            <w:hideMark/>
          </w:tcPr>
          <w:p w14:paraId="2BFF3CF7" w14:textId="77777777" w:rsidR="00AB165E" w:rsidRPr="00735940" w:rsidRDefault="00AB165E" w:rsidP="008F500C">
            <w:pPr>
              <w:jc w:val="center"/>
              <w:rPr>
                <w:color w:val="000000"/>
              </w:rPr>
            </w:pPr>
            <w:r w:rsidRPr="00735940">
              <w:rPr>
                <w:color w:val="000000"/>
              </w:rPr>
              <w:t>15.18±0.02</w:t>
            </w:r>
          </w:p>
        </w:tc>
        <w:tc>
          <w:tcPr>
            <w:tcW w:w="1800" w:type="dxa"/>
            <w:vAlign w:val="center"/>
          </w:tcPr>
          <w:p w14:paraId="559C3C56" w14:textId="0680C3F6" w:rsidR="00AB165E" w:rsidRPr="00735940" w:rsidRDefault="00F010AC" w:rsidP="008F500C">
            <w:pPr>
              <w:jc w:val="center"/>
              <w:rPr>
                <w:color w:val="000000"/>
              </w:rPr>
            </w:pPr>
            <w:r>
              <w:rPr>
                <w:color w:val="000000"/>
              </w:rPr>
              <w:t>-</w:t>
            </w:r>
            <w:r w:rsidR="008F500C">
              <w:rPr>
                <w:color w:val="000000"/>
              </w:rPr>
              <w:t>29.5</w:t>
            </w:r>
            <w:r w:rsidR="008F500C" w:rsidRPr="00735940">
              <w:rPr>
                <w:color w:val="000000"/>
              </w:rPr>
              <w:t>±</w:t>
            </w:r>
            <w:r w:rsidR="008F500C">
              <w:rPr>
                <w:color w:val="000000"/>
              </w:rPr>
              <w:t>.2</w:t>
            </w:r>
          </w:p>
        </w:tc>
        <w:tc>
          <w:tcPr>
            <w:tcW w:w="1248" w:type="dxa"/>
            <w:shd w:val="clear" w:color="auto" w:fill="auto"/>
            <w:vAlign w:val="center"/>
            <w:hideMark/>
          </w:tcPr>
          <w:p w14:paraId="79D291AA" w14:textId="0D5A2077" w:rsidR="00AB165E" w:rsidRPr="00735940" w:rsidRDefault="00AB165E" w:rsidP="008F500C">
            <w:pPr>
              <w:jc w:val="center"/>
              <w:rPr>
                <w:color w:val="000000"/>
              </w:rPr>
            </w:pPr>
            <w:r w:rsidRPr="00735940">
              <w:rPr>
                <w:color w:val="000000"/>
              </w:rPr>
              <w:t>1.37±0.08</w:t>
            </w:r>
          </w:p>
        </w:tc>
      </w:tr>
      <w:tr w:rsidR="00963EFF" w:rsidRPr="00735940" w14:paraId="18F38E81" w14:textId="77777777" w:rsidTr="008F500C">
        <w:trPr>
          <w:trHeight w:val="584"/>
        </w:trPr>
        <w:tc>
          <w:tcPr>
            <w:tcW w:w="1176" w:type="dxa"/>
            <w:shd w:val="clear" w:color="auto" w:fill="auto"/>
            <w:vAlign w:val="center"/>
            <w:hideMark/>
          </w:tcPr>
          <w:p w14:paraId="779C8775" w14:textId="77777777" w:rsidR="00AB165E" w:rsidRPr="00735940" w:rsidRDefault="00AB165E" w:rsidP="00AB7712">
            <w:pPr>
              <w:rPr>
                <w:color w:val="000000"/>
              </w:rPr>
            </w:pPr>
            <w:r w:rsidRPr="00735940">
              <w:rPr>
                <w:color w:val="000000"/>
              </w:rPr>
              <w:t>Ar trial 1</w:t>
            </w:r>
          </w:p>
        </w:tc>
        <w:tc>
          <w:tcPr>
            <w:tcW w:w="1434" w:type="dxa"/>
            <w:shd w:val="clear" w:color="auto" w:fill="auto"/>
            <w:vAlign w:val="center"/>
            <w:hideMark/>
          </w:tcPr>
          <w:p w14:paraId="4B058AA4" w14:textId="77777777" w:rsidR="00AB165E" w:rsidRPr="00735940" w:rsidRDefault="00AB165E" w:rsidP="00AB7712">
            <w:pPr>
              <w:rPr>
                <w:color w:val="000000"/>
              </w:rPr>
            </w:pPr>
            <w:r w:rsidRPr="00735940">
              <w:rPr>
                <w:color w:val="000000"/>
              </w:rPr>
              <w:t>1.63±0.01</w:t>
            </w:r>
          </w:p>
        </w:tc>
        <w:tc>
          <w:tcPr>
            <w:tcW w:w="1350" w:type="dxa"/>
            <w:shd w:val="clear" w:color="auto" w:fill="auto"/>
            <w:vAlign w:val="center"/>
            <w:hideMark/>
          </w:tcPr>
          <w:p w14:paraId="2EA4883A" w14:textId="77777777" w:rsidR="00AB165E" w:rsidRPr="00735940" w:rsidRDefault="00AB165E" w:rsidP="00AB7712">
            <w:pPr>
              <w:rPr>
                <w:color w:val="000000"/>
              </w:rPr>
            </w:pPr>
            <w:r w:rsidRPr="00735940">
              <w:rPr>
                <w:color w:val="000000"/>
              </w:rPr>
              <w:t>0.41±0.01</w:t>
            </w:r>
          </w:p>
        </w:tc>
        <w:tc>
          <w:tcPr>
            <w:tcW w:w="1530" w:type="dxa"/>
            <w:shd w:val="clear" w:color="auto" w:fill="auto"/>
            <w:vAlign w:val="center"/>
            <w:hideMark/>
          </w:tcPr>
          <w:p w14:paraId="790AD9F4" w14:textId="77777777" w:rsidR="00AB165E" w:rsidRPr="00735940" w:rsidRDefault="00AB165E" w:rsidP="00AB7712">
            <w:pPr>
              <w:rPr>
                <w:color w:val="000000"/>
              </w:rPr>
            </w:pPr>
            <w:r w:rsidRPr="00735940">
              <w:rPr>
                <w:color w:val="000000"/>
              </w:rPr>
              <w:t>16.379±0.006</w:t>
            </w:r>
          </w:p>
        </w:tc>
        <w:tc>
          <w:tcPr>
            <w:tcW w:w="1530" w:type="dxa"/>
            <w:shd w:val="clear" w:color="auto" w:fill="auto"/>
            <w:vAlign w:val="center"/>
            <w:hideMark/>
          </w:tcPr>
          <w:p w14:paraId="30587162" w14:textId="77777777" w:rsidR="00AB165E" w:rsidRPr="00735940" w:rsidRDefault="00AB165E" w:rsidP="008F500C">
            <w:pPr>
              <w:jc w:val="center"/>
              <w:rPr>
                <w:color w:val="000000"/>
              </w:rPr>
            </w:pPr>
            <w:r w:rsidRPr="00735940">
              <w:rPr>
                <w:color w:val="000000"/>
              </w:rPr>
              <w:t>15.16±0.02</w:t>
            </w:r>
          </w:p>
        </w:tc>
        <w:tc>
          <w:tcPr>
            <w:tcW w:w="1800" w:type="dxa"/>
            <w:vAlign w:val="center"/>
          </w:tcPr>
          <w:p w14:paraId="1B998358" w14:textId="3062DCA6" w:rsidR="00AB165E" w:rsidRPr="00735940" w:rsidRDefault="008F500C" w:rsidP="008F500C">
            <w:pPr>
              <w:jc w:val="center"/>
              <w:rPr>
                <w:color w:val="000000"/>
              </w:rPr>
            </w:pPr>
            <w:r>
              <w:rPr>
                <w:color w:val="000000"/>
              </w:rPr>
              <w:t>-29.4</w:t>
            </w:r>
            <w:r w:rsidRPr="00735940">
              <w:rPr>
                <w:color w:val="000000"/>
              </w:rPr>
              <w:t>±</w:t>
            </w:r>
            <w:r>
              <w:rPr>
                <w:color w:val="000000"/>
              </w:rPr>
              <w:t>.2</w:t>
            </w:r>
          </w:p>
        </w:tc>
        <w:tc>
          <w:tcPr>
            <w:tcW w:w="1248" w:type="dxa"/>
            <w:shd w:val="clear" w:color="auto" w:fill="auto"/>
            <w:vAlign w:val="center"/>
            <w:hideMark/>
          </w:tcPr>
          <w:p w14:paraId="4C028D4D" w14:textId="65C3978A" w:rsidR="00AB165E" w:rsidRPr="00735940" w:rsidRDefault="00AB165E" w:rsidP="008F500C">
            <w:pPr>
              <w:jc w:val="center"/>
              <w:rPr>
                <w:color w:val="000000"/>
              </w:rPr>
            </w:pPr>
            <w:r w:rsidRPr="00735940">
              <w:rPr>
                <w:color w:val="000000"/>
              </w:rPr>
              <w:t>1.35±0.08</w:t>
            </w:r>
          </w:p>
        </w:tc>
      </w:tr>
      <w:tr w:rsidR="00963EFF" w:rsidRPr="00735940" w14:paraId="4A9E3628" w14:textId="77777777" w:rsidTr="008F500C">
        <w:trPr>
          <w:trHeight w:val="584"/>
        </w:trPr>
        <w:tc>
          <w:tcPr>
            <w:tcW w:w="1176" w:type="dxa"/>
            <w:shd w:val="clear" w:color="auto" w:fill="auto"/>
            <w:vAlign w:val="center"/>
            <w:hideMark/>
          </w:tcPr>
          <w:p w14:paraId="52AEA1EF" w14:textId="77777777" w:rsidR="00AB165E" w:rsidRPr="00735940" w:rsidRDefault="00AB165E" w:rsidP="00AB7712">
            <w:pPr>
              <w:rPr>
                <w:color w:val="000000"/>
              </w:rPr>
            </w:pPr>
            <w:r w:rsidRPr="00735940">
              <w:rPr>
                <w:color w:val="000000"/>
              </w:rPr>
              <w:t>Ar trial 2</w:t>
            </w:r>
          </w:p>
        </w:tc>
        <w:tc>
          <w:tcPr>
            <w:tcW w:w="1434" w:type="dxa"/>
            <w:shd w:val="clear" w:color="auto" w:fill="auto"/>
            <w:vAlign w:val="center"/>
            <w:hideMark/>
          </w:tcPr>
          <w:p w14:paraId="10873B13" w14:textId="77777777" w:rsidR="00AB165E" w:rsidRPr="00735940" w:rsidRDefault="00AB165E" w:rsidP="00AB7712">
            <w:pPr>
              <w:rPr>
                <w:color w:val="000000"/>
              </w:rPr>
            </w:pPr>
            <w:r w:rsidRPr="00735940">
              <w:rPr>
                <w:color w:val="000000"/>
              </w:rPr>
              <w:t>1.71±0.01</w:t>
            </w:r>
          </w:p>
        </w:tc>
        <w:tc>
          <w:tcPr>
            <w:tcW w:w="1350" w:type="dxa"/>
            <w:shd w:val="clear" w:color="auto" w:fill="auto"/>
            <w:vAlign w:val="center"/>
            <w:hideMark/>
          </w:tcPr>
          <w:p w14:paraId="2EF1F4F0" w14:textId="77777777" w:rsidR="00AB165E" w:rsidRPr="00735940" w:rsidRDefault="00AB165E" w:rsidP="00AB7712">
            <w:pPr>
              <w:rPr>
                <w:color w:val="000000"/>
              </w:rPr>
            </w:pPr>
            <w:r w:rsidRPr="00735940">
              <w:rPr>
                <w:color w:val="000000"/>
              </w:rPr>
              <w:t>0.58±0.01</w:t>
            </w:r>
          </w:p>
        </w:tc>
        <w:tc>
          <w:tcPr>
            <w:tcW w:w="1530" w:type="dxa"/>
            <w:shd w:val="clear" w:color="auto" w:fill="auto"/>
            <w:vAlign w:val="center"/>
            <w:hideMark/>
          </w:tcPr>
          <w:p w14:paraId="134E5509" w14:textId="77777777" w:rsidR="00AB165E" w:rsidRPr="00735940" w:rsidRDefault="00AB165E" w:rsidP="00AB7712">
            <w:pPr>
              <w:rPr>
                <w:color w:val="000000"/>
              </w:rPr>
            </w:pPr>
            <w:r w:rsidRPr="00735940">
              <w:rPr>
                <w:color w:val="000000"/>
              </w:rPr>
              <w:t>16.459±0.006</w:t>
            </w:r>
          </w:p>
        </w:tc>
        <w:tc>
          <w:tcPr>
            <w:tcW w:w="1530" w:type="dxa"/>
            <w:shd w:val="clear" w:color="auto" w:fill="auto"/>
            <w:vAlign w:val="center"/>
            <w:hideMark/>
          </w:tcPr>
          <w:p w14:paraId="3F20F670" w14:textId="77777777" w:rsidR="00AB165E" w:rsidRPr="00735940" w:rsidRDefault="00AB165E" w:rsidP="008F500C">
            <w:pPr>
              <w:jc w:val="center"/>
              <w:rPr>
                <w:color w:val="000000"/>
              </w:rPr>
            </w:pPr>
            <w:r w:rsidRPr="00735940">
              <w:rPr>
                <w:color w:val="000000"/>
              </w:rPr>
              <w:t>15.33±0.02</w:t>
            </w:r>
          </w:p>
        </w:tc>
        <w:tc>
          <w:tcPr>
            <w:tcW w:w="1800" w:type="dxa"/>
            <w:vAlign w:val="center"/>
          </w:tcPr>
          <w:p w14:paraId="0AEEC826" w14:textId="4507B9B3" w:rsidR="00AB165E" w:rsidRPr="00735940" w:rsidRDefault="008F500C" w:rsidP="008F500C">
            <w:pPr>
              <w:jc w:val="center"/>
              <w:rPr>
                <w:color w:val="000000"/>
              </w:rPr>
            </w:pPr>
            <w:r>
              <w:rPr>
                <w:color w:val="000000"/>
              </w:rPr>
              <w:t>-30.7</w:t>
            </w:r>
            <w:r w:rsidRPr="00735940">
              <w:rPr>
                <w:color w:val="000000"/>
              </w:rPr>
              <w:t>±</w:t>
            </w:r>
            <w:r>
              <w:rPr>
                <w:color w:val="000000"/>
              </w:rPr>
              <w:t>.2</w:t>
            </w:r>
          </w:p>
        </w:tc>
        <w:tc>
          <w:tcPr>
            <w:tcW w:w="1248" w:type="dxa"/>
            <w:shd w:val="clear" w:color="auto" w:fill="auto"/>
            <w:vAlign w:val="center"/>
            <w:hideMark/>
          </w:tcPr>
          <w:p w14:paraId="6E9AFB0E" w14:textId="6B508442" w:rsidR="00AB165E" w:rsidRPr="00735940" w:rsidRDefault="00AB165E" w:rsidP="008F500C">
            <w:pPr>
              <w:jc w:val="center"/>
              <w:rPr>
                <w:color w:val="000000"/>
              </w:rPr>
            </w:pPr>
            <w:r w:rsidRPr="00735940">
              <w:rPr>
                <w:color w:val="000000"/>
              </w:rPr>
              <w:t>1.5</w:t>
            </w:r>
            <w:r>
              <w:rPr>
                <w:color w:val="000000"/>
              </w:rPr>
              <w:t>4</w:t>
            </w:r>
            <w:r w:rsidRPr="00735940">
              <w:rPr>
                <w:color w:val="000000"/>
              </w:rPr>
              <w:t>±0.1</w:t>
            </w:r>
            <w:r>
              <w:rPr>
                <w:color w:val="000000"/>
              </w:rPr>
              <w:t>0</w:t>
            </w:r>
          </w:p>
        </w:tc>
      </w:tr>
    </w:tbl>
    <w:p w14:paraId="2782CD74" w14:textId="601095E2" w:rsidR="00CB1500" w:rsidRPr="00735940" w:rsidRDefault="00CB1500" w:rsidP="0046774E">
      <w:pPr>
        <w:spacing w:line="360" w:lineRule="auto"/>
      </w:pPr>
    </w:p>
    <w:p w14:paraId="0B1921BF" w14:textId="71E2B666" w:rsidR="00D50C01" w:rsidRPr="00735940" w:rsidRDefault="00D50C01" w:rsidP="00D50C01">
      <w:pPr>
        <w:pStyle w:val="Caption"/>
      </w:pPr>
      <w:r w:rsidRPr="002A50D4">
        <w:rPr>
          <w:b/>
        </w:rPr>
        <w:t xml:space="preserve">Table </w:t>
      </w:r>
      <w:r w:rsidRPr="002A50D4">
        <w:rPr>
          <w:b/>
        </w:rPr>
        <w:fldChar w:fldCharType="begin"/>
      </w:r>
      <w:r w:rsidRPr="002A50D4">
        <w:rPr>
          <w:b/>
        </w:rPr>
        <w:instrText xml:space="preserve"> SEQ Table \* ARABIC </w:instrText>
      </w:r>
      <w:r w:rsidRPr="002A50D4">
        <w:rPr>
          <w:b/>
        </w:rPr>
        <w:fldChar w:fldCharType="separate"/>
      </w:r>
      <w:r w:rsidR="00A2664A">
        <w:rPr>
          <w:b/>
          <w:noProof/>
        </w:rPr>
        <w:t>2</w:t>
      </w:r>
      <w:r w:rsidRPr="002A50D4">
        <w:rPr>
          <w:b/>
          <w:noProof/>
        </w:rPr>
        <w:fldChar w:fldCharType="end"/>
      </w:r>
      <w:r w:rsidRPr="002A50D4">
        <w:rPr>
          <w:b/>
        </w:rPr>
        <w:t>.</w:t>
      </w:r>
      <w:r w:rsidRPr="00735940">
        <w:t xml:space="preserve"> </w:t>
      </w:r>
      <w:r w:rsidRPr="00240D65">
        <w:t>95% confidence intervals for gamma values</w:t>
      </w:r>
      <w:r>
        <w:t xml:space="preserve"> </w:t>
      </w:r>
      <w:r w:rsidRPr="00240D65">
        <w:t>of nitrogen and argon</w:t>
      </w:r>
      <w:r>
        <w:t>.</w:t>
      </w:r>
      <w:r w:rsidR="00A97FFE">
        <w:t xml:space="preserve"> Argon has a large uncertainty but the theoretical values for each fall within the confidence intervals.</w:t>
      </w:r>
    </w:p>
    <w:tbl>
      <w:tblPr>
        <w:tblStyle w:val="TableGrid"/>
        <w:tblW w:w="0" w:type="auto"/>
        <w:jc w:val="center"/>
        <w:tblLook w:val="04A0" w:firstRow="1" w:lastRow="0" w:firstColumn="1" w:lastColumn="0" w:noHBand="0" w:noVBand="1"/>
      </w:tblPr>
      <w:tblGrid>
        <w:gridCol w:w="2067"/>
        <w:gridCol w:w="2964"/>
      </w:tblGrid>
      <w:tr w:rsidR="00D50C01" w:rsidRPr="00735940" w14:paraId="2488C401" w14:textId="77777777" w:rsidTr="007F7803">
        <w:trPr>
          <w:trHeight w:val="522"/>
          <w:jc w:val="center"/>
        </w:trPr>
        <w:tc>
          <w:tcPr>
            <w:tcW w:w="2067" w:type="dxa"/>
            <w:vAlign w:val="center"/>
          </w:tcPr>
          <w:p w14:paraId="5E304D63" w14:textId="77777777" w:rsidR="00D50C01" w:rsidRPr="00735940" w:rsidRDefault="00D50C01" w:rsidP="007F7803">
            <w:pPr>
              <w:spacing w:line="360" w:lineRule="auto"/>
              <w:jc w:val="center"/>
              <w:rPr>
                <w:rFonts w:eastAsiaTheme="minorEastAsia" w:cs="Times New Roman"/>
              </w:rPr>
            </w:pPr>
          </w:p>
        </w:tc>
        <w:tc>
          <w:tcPr>
            <w:tcW w:w="2964" w:type="dxa"/>
            <w:vAlign w:val="center"/>
          </w:tcPr>
          <w:p w14:paraId="7E15C739" w14:textId="77777777" w:rsidR="00D50C01" w:rsidRPr="00735940" w:rsidRDefault="00D50C01" w:rsidP="007F7803">
            <w:pPr>
              <w:spacing w:line="360" w:lineRule="auto"/>
              <w:jc w:val="center"/>
              <w:rPr>
                <w:rFonts w:eastAsiaTheme="minorEastAsia" w:cs="Times New Roman"/>
              </w:rPr>
            </w:pPr>
            <w:r w:rsidRPr="00735940">
              <w:rPr>
                <w:rFonts w:eastAsiaTheme="minorEastAsia" w:cs="Times New Roman"/>
              </w:rPr>
              <w:t>γ</w:t>
            </w:r>
          </w:p>
        </w:tc>
      </w:tr>
      <w:tr w:rsidR="00D50C01" w:rsidRPr="00735940" w14:paraId="1AC390B1" w14:textId="77777777" w:rsidTr="007F7803">
        <w:trPr>
          <w:trHeight w:val="539"/>
          <w:jc w:val="center"/>
        </w:trPr>
        <w:tc>
          <w:tcPr>
            <w:tcW w:w="2067" w:type="dxa"/>
            <w:vAlign w:val="center"/>
          </w:tcPr>
          <w:p w14:paraId="2DD41C3A" w14:textId="77777777" w:rsidR="00D50C01" w:rsidRPr="00735940" w:rsidRDefault="00D50C01" w:rsidP="007F7803">
            <w:pPr>
              <w:spacing w:line="360" w:lineRule="auto"/>
              <w:jc w:val="center"/>
              <w:rPr>
                <w:rFonts w:eastAsiaTheme="minorEastAsia" w:cs="Times New Roman"/>
              </w:rPr>
            </w:pPr>
            <w:r>
              <w:rPr>
                <w:rFonts w:eastAsiaTheme="minorEastAsia" w:cs="Times New Roman"/>
              </w:rPr>
              <w:t>Nitrogen</w:t>
            </w:r>
          </w:p>
        </w:tc>
        <w:tc>
          <w:tcPr>
            <w:tcW w:w="2964" w:type="dxa"/>
            <w:vAlign w:val="center"/>
          </w:tcPr>
          <w:p w14:paraId="3D4BA9F2" w14:textId="77777777" w:rsidR="00D50C01" w:rsidRPr="00735940" w:rsidRDefault="00D50C01" w:rsidP="007F7803">
            <w:pPr>
              <w:spacing w:line="360" w:lineRule="auto"/>
              <w:jc w:val="center"/>
              <w:rPr>
                <w:rFonts w:eastAsiaTheme="minorEastAsia" w:cs="Times New Roman"/>
              </w:rPr>
            </w:pPr>
            <m:oMathPara>
              <m:oMath>
                <m:r>
                  <w:rPr>
                    <w:rFonts w:ascii="Cambria Math" w:eastAsiaTheme="minorEastAsia" w:hAnsi="Cambria Math" w:cs="Times New Roman"/>
                  </w:rPr>
                  <m:t>1.38±0.11</m:t>
                </m:r>
              </m:oMath>
            </m:oMathPara>
          </w:p>
        </w:tc>
      </w:tr>
      <w:tr w:rsidR="00D50C01" w:rsidRPr="00735940" w14:paraId="50AAD715" w14:textId="77777777" w:rsidTr="007F7803">
        <w:trPr>
          <w:trHeight w:val="539"/>
          <w:jc w:val="center"/>
        </w:trPr>
        <w:tc>
          <w:tcPr>
            <w:tcW w:w="2067" w:type="dxa"/>
            <w:vAlign w:val="center"/>
          </w:tcPr>
          <w:p w14:paraId="5B929FBB" w14:textId="77777777" w:rsidR="00D50C01" w:rsidRPr="00735940" w:rsidRDefault="00D50C01" w:rsidP="007F7803">
            <w:pPr>
              <w:spacing w:line="360" w:lineRule="auto"/>
              <w:jc w:val="center"/>
              <w:rPr>
                <w:rFonts w:eastAsiaTheme="minorEastAsia" w:cs="Times New Roman"/>
              </w:rPr>
            </w:pPr>
            <w:r>
              <w:rPr>
                <w:rFonts w:eastAsiaTheme="minorEastAsia" w:cs="Times New Roman"/>
              </w:rPr>
              <w:t>Argon</w:t>
            </w:r>
          </w:p>
        </w:tc>
        <w:tc>
          <w:tcPr>
            <w:tcW w:w="2964" w:type="dxa"/>
            <w:vAlign w:val="center"/>
          </w:tcPr>
          <w:p w14:paraId="2306A313" w14:textId="77777777" w:rsidR="00D50C01" w:rsidRDefault="00D50C01" w:rsidP="007F7803">
            <w:pPr>
              <w:spacing w:line="360" w:lineRule="auto"/>
              <w:jc w:val="center"/>
              <w:rPr>
                <w:rFonts w:eastAsia="Calibri" w:cs="Times New Roman"/>
              </w:rPr>
            </w:pPr>
            <m:oMathPara>
              <m:oMath>
                <m:r>
                  <w:rPr>
                    <w:rFonts w:ascii="Cambria Math" w:eastAsiaTheme="minorEastAsia" w:hAnsi="Cambria Math" w:cs="Times New Roman"/>
                  </w:rPr>
                  <m:t>1.49±0.95</m:t>
                </m:r>
              </m:oMath>
            </m:oMathPara>
          </w:p>
        </w:tc>
      </w:tr>
    </w:tbl>
    <w:p w14:paraId="5D4DC205" w14:textId="77777777" w:rsidR="00D50C01" w:rsidRDefault="00D50C01" w:rsidP="000B5AB5">
      <w:pPr>
        <w:spacing w:after="240" w:line="360" w:lineRule="auto"/>
        <w:ind w:firstLine="720"/>
        <w:jc w:val="both"/>
        <w:rPr>
          <w:rFonts w:cs="Times New Roman"/>
        </w:rPr>
      </w:pPr>
    </w:p>
    <w:p w14:paraId="37F43490" w14:textId="70508D68" w:rsidR="00F6137D" w:rsidRPr="000B5AB5" w:rsidRDefault="007453F6" w:rsidP="000B5AB5">
      <w:pPr>
        <w:spacing w:after="240" w:line="360" w:lineRule="auto"/>
        <w:ind w:firstLine="720"/>
        <w:jc w:val="both"/>
        <w:rPr>
          <w:rFonts w:cs="Times New Roman"/>
        </w:rPr>
      </w:pPr>
      <w:r w:rsidRPr="000B5AB5">
        <w:rPr>
          <w:rFonts w:cs="Times New Roman"/>
        </w:rPr>
        <w:t xml:space="preserve">Our pressure gauge only measures </w:t>
      </w:r>
      <w:r w:rsidR="00FF2694" w:rsidRPr="000B5AB5">
        <w:rPr>
          <w:rFonts w:cs="Times New Roman"/>
        </w:rPr>
        <w:t>pressure difference,</w:t>
      </w:r>
      <w:r w:rsidRPr="000B5AB5">
        <w:rPr>
          <w:rFonts w:cs="Times New Roman"/>
        </w:rPr>
        <w:t xml:space="preserve"> so we have to add atmospheric pressure to our gauge measurements to get the </w:t>
      </w:r>
      <w:r w:rsidR="00FF2694" w:rsidRPr="000B5AB5">
        <w:rPr>
          <w:rFonts w:cs="Times New Roman"/>
        </w:rPr>
        <w:t xml:space="preserve">absolute </w:t>
      </w:r>
      <w:r w:rsidRPr="000B5AB5">
        <w:rPr>
          <w:rFonts w:cs="Times New Roman"/>
        </w:rPr>
        <w:t>pressure. In other words, t</w:t>
      </w:r>
      <w:r w:rsidR="008F080F" w:rsidRPr="000B5AB5">
        <w:rPr>
          <w:rFonts w:cs="Times New Roman"/>
        </w:rPr>
        <w:t>he calculation of P</w:t>
      </w:r>
      <w:r w:rsidR="008F080F" w:rsidRPr="000B5AB5">
        <w:rPr>
          <w:rFonts w:cs="Times New Roman"/>
          <w:vertAlign w:val="subscript"/>
        </w:rPr>
        <w:t>1</w:t>
      </w:r>
      <w:r w:rsidR="008F080F" w:rsidRPr="000B5AB5">
        <w:rPr>
          <w:rFonts w:cs="Times New Roman"/>
        </w:rPr>
        <w:t xml:space="preserve"> and P</w:t>
      </w:r>
      <w:r w:rsidR="008F080F" w:rsidRPr="000B5AB5">
        <w:rPr>
          <w:rFonts w:cs="Times New Roman"/>
          <w:vertAlign w:val="subscript"/>
        </w:rPr>
        <w:t>3</w:t>
      </w:r>
      <w:r w:rsidR="008F080F" w:rsidRPr="000B5AB5">
        <w:rPr>
          <w:rFonts w:cs="Times New Roman"/>
        </w:rPr>
        <w:t xml:space="preserve"> are relative to the measurement of P</w:t>
      </w:r>
      <w:r w:rsidR="008F080F" w:rsidRPr="000B5AB5">
        <w:rPr>
          <w:rFonts w:cs="Times New Roman"/>
          <w:vertAlign w:val="subscript"/>
        </w:rPr>
        <w:t>2</w:t>
      </w:r>
      <w:r w:rsidR="008F080F" w:rsidRPr="000B5AB5">
        <w:rPr>
          <w:rFonts w:cs="Times New Roman"/>
        </w:rPr>
        <w:t>. This value was</w:t>
      </w:r>
      <w:r w:rsidR="00F6137D" w:rsidRPr="000B5AB5">
        <w:rPr>
          <w:rFonts w:cs="Times New Roman"/>
        </w:rPr>
        <w:t xml:space="preserve"> 30.03±0.0</w:t>
      </w:r>
      <w:r w:rsidR="00203EB3" w:rsidRPr="000B5AB5">
        <w:rPr>
          <w:rFonts w:cs="Times New Roman"/>
        </w:rPr>
        <w:t>1</w:t>
      </w:r>
      <w:r w:rsidR="00F6137D" w:rsidRPr="000B5AB5">
        <w:rPr>
          <w:rFonts w:cs="Times New Roman"/>
        </w:rPr>
        <w:t>inHg</w:t>
      </w:r>
      <w:r w:rsidR="00FF2694" w:rsidRPr="000B5AB5">
        <w:rPr>
          <w:rFonts w:cs="Times New Roman"/>
        </w:rPr>
        <w:t xml:space="preserve"> as </w:t>
      </w:r>
      <w:r w:rsidR="00FF2694" w:rsidRPr="000B5AB5">
        <w:rPr>
          <w:rFonts w:cs="Times New Roman"/>
        </w:rPr>
        <w:t xml:space="preserve">acquired from IBM’s Weather Data API </w:t>
      </w:r>
      <w:r w:rsidR="00FF2694" w:rsidRPr="000B5AB5">
        <w:rPr>
          <w:rFonts w:cs="Times New Roman"/>
        </w:rPr>
        <w:t xml:space="preserve">at </w:t>
      </w:r>
      <w:r w:rsidR="00FF2694" w:rsidRPr="000B5AB5">
        <w:rPr>
          <w:rFonts w:cs="Times New Roman"/>
        </w:rPr>
        <w:t>2:00 PM</w:t>
      </w:r>
      <w:r w:rsidR="00FF2694" w:rsidRPr="000B5AB5">
        <w:rPr>
          <w:rFonts w:cs="Times New Roman"/>
        </w:rPr>
        <w:t>,</w:t>
      </w:r>
      <w:r w:rsidR="00FF2694" w:rsidRPr="000B5AB5">
        <w:rPr>
          <w:rFonts w:cs="Times New Roman"/>
        </w:rPr>
        <w:t xml:space="preserve"> August 31, 2022</w:t>
      </w:r>
      <w:r w:rsidR="00F6137D" w:rsidRPr="000B5AB5">
        <w:rPr>
          <w:rFonts w:cs="Times New Roman"/>
        </w:rPr>
        <w:t>.</w:t>
      </w:r>
      <w:r w:rsidR="00A62515" w:rsidRPr="000B5AB5">
        <w:rPr>
          <w:rFonts w:cs="Times New Roman"/>
          <w:vertAlign w:val="superscript"/>
        </w:rPr>
        <w:t xml:space="preserve"> [</w:t>
      </w:r>
      <w:r w:rsidR="006B2DB3" w:rsidRPr="000B5AB5">
        <w:rPr>
          <w:rFonts w:cs="Times New Roman"/>
          <w:vertAlign w:val="superscript"/>
        </w:rPr>
        <w:t>1</w:t>
      </w:r>
      <w:r w:rsidR="00A62515" w:rsidRPr="000B5AB5">
        <w:rPr>
          <w:rFonts w:cs="Times New Roman"/>
          <w:vertAlign w:val="superscript"/>
        </w:rPr>
        <w:t>]</w:t>
      </w:r>
      <w:r w:rsidR="00F6137D" w:rsidRPr="000B5AB5">
        <w:rPr>
          <w:rFonts w:cs="Times New Roman"/>
        </w:rPr>
        <w:t xml:space="preserve"> The conversion </w:t>
      </w:r>
      <w:r w:rsidR="00B14A96" w:rsidRPr="000B5AB5">
        <w:rPr>
          <w:rFonts w:cs="Times New Roman"/>
        </w:rPr>
        <w:t xml:space="preserve">from inHg to </w:t>
      </w:r>
      <w:r w:rsidR="00F6137D" w:rsidRPr="000B5AB5">
        <w:rPr>
          <w:rFonts w:cs="Times New Roman"/>
        </w:rPr>
        <w:t>psi went as follows:</w:t>
      </w:r>
    </w:p>
    <w:p w14:paraId="44CFCBB0" w14:textId="3D171F7F" w:rsidR="00F6137D" w:rsidRPr="000B5AB5" w:rsidRDefault="00735940" w:rsidP="000B5AB5">
      <w:pPr>
        <w:spacing w:after="240" w:line="360" w:lineRule="auto"/>
        <w:rPr>
          <w:rFonts w:eastAsiaTheme="minorEastAsia" w:cs="Times New Roman"/>
          <w:iCs/>
        </w:rPr>
      </w:pPr>
      <m:oMathPara>
        <m:oMath>
          <m:r>
            <w:rPr>
              <w:rFonts w:ascii="Cambria Math" w:hAnsi="Cambria Math" w:cs="Times New Roman"/>
            </w:rPr>
            <m:t>30.03±0.01</m:t>
          </m:r>
          <m:r>
            <m:rPr>
              <m:sty m:val="p"/>
            </m:rPr>
            <w:rPr>
              <w:rFonts w:ascii="Cambria Math" w:hAnsi="Cambria Math" w:cs="Times New Roman"/>
            </w:rPr>
            <m:t xml:space="preserve">inHg </m:t>
          </m:r>
          <m:d>
            <m:dPr>
              <m:ctrlPr>
                <w:rPr>
                  <w:rFonts w:ascii="Cambria Math" w:hAnsi="Cambria Math" w:cs="Times New Roman"/>
                  <w:iCs/>
                </w:rPr>
              </m:ctrlPr>
            </m:dPr>
            <m:e>
              <m:f>
                <m:fPr>
                  <m:ctrlPr>
                    <w:rPr>
                      <w:rFonts w:ascii="Cambria Math" w:hAnsi="Cambria Math" w:cs="Times New Roman"/>
                      <w:iCs/>
                    </w:rPr>
                  </m:ctrlPr>
                </m:fPr>
                <m:num>
                  <m:r>
                    <m:rPr>
                      <m:sty m:val="p"/>
                    </m:rPr>
                    <w:rPr>
                      <w:rFonts w:ascii="Cambria Math" w:hAnsi="Cambria Math" w:cs="Times New Roman"/>
                    </w:rPr>
                    <m:t>1psi</m:t>
                  </m:r>
                </m:num>
                <m:den>
                  <m:r>
                    <m:rPr>
                      <m:sty m:val="p"/>
                    </m:rPr>
                    <w:rPr>
                      <w:rFonts w:ascii="Cambria Math" w:hAnsi="Cambria Math" w:cs="Times New Roman"/>
                    </w:rPr>
                    <m:t>2.03602inHg</m:t>
                  </m:r>
                </m:den>
              </m:f>
            </m:e>
          </m:d>
          <m:r>
            <m:rPr>
              <m:sty m:val="p"/>
            </m:rPr>
            <w:rPr>
              <w:rFonts w:ascii="Cambria Math" w:hAnsi="Cambria Math" w:cs="Times New Roman"/>
            </w:rPr>
            <m:t>=14.749±0.005psi</m:t>
          </m:r>
        </m:oMath>
      </m:oMathPara>
    </w:p>
    <w:p w14:paraId="589B7A73" w14:textId="7E2EFFB1" w:rsidR="00B14A96" w:rsidRPr="000B5AB5" w:rsidRDefault="005B6F10" w:rsidP="000B5AB5">
      <w:pPr>
        <w:spacing w:after="240" w:line="360" w:lineRule="auto"/>
        <w:jc w:val="both"/>
        <w:rPr>
          <w:rFonts w:cs="Times New Roman"/>
        </w:rPr>
      </w:pPr>
      <w:r w:rsidRPr="000B5AB5">
        <w:rPr>
          <w:rFonts w:cs="Times New Roman"/>
        </w:rPr>
        <w:t xml:space="preserve">Therefore,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=14.7</m:t>
        </m:r>
        <m:r>
          <w:rPr>
            <w:rFonts w:ascii="Cambria Math" w:hAnsi="Cambria Math" w:cs="Times New Roman"/>
            <w:u w:val="single"/>
          </w:rPr>
          <m:t>4</m:t>
        </m:r>
        <m:r>
          <w:rPr>
            <w:rFonts w:ascii="Cambria Math" w:hAnsi="Cambria Math" w:cs="Times New Roman"/>
          </w:rPr>
          <m:t>9±0.005 psi</m:t>
        </m:r>
      </m:oMath>
      <w:r w:rsidRPr="000B5AB5">
        <w:rPr>
          <w:rFonts w:cs="Times New Roman"/>
        </w:rPr>
        <w:t xml:space="preserve"> </w:t>
      </w:r>
      <w:r w:rsidRPr="000B5AB5">
        <w:rPr>
          <w:rFonts w:eastAsiaTheme="minorEastAsia" w:cs="Times New Roman"/>
        </w:rPr>
        <w:t>for all trials.</w:t>
      </w:r>
      <w:r w:rsidR="00B24609" w:rsidRPr="000B5AB5">
        <w:rPr>
          <w:rFonts w:eastAsiaTheme="minorEastAsia" w:cs="Times New Roman"/>
        </w:rPr>
        <w:t xml:space="preserve"> </w:t>
      </w:r>
      <w:r w:rsidR="00AC66EB" w:rsidRPr="000B5AB5">
        <w:rPr>
          <w:rFonts w:cs="Times New Roman"/>
        </w:rPr>
        <w:t>P</w:t>
      </w:r>
      <w:r w:rsidR="00AC66EB" w:rsidRPr="000B5AB5">
        <w:rPr>
          <w:rFonts w:cs="Times New Roman"/>
          <w:vertAlign w:val="subscript"/>
        </w:rPr>
        <w:t>1</w:t>
      </w:r>
      <w:r w:rsidR="00AC66EB" w:rsidRPr="000B5AB5">
        <w:rPr>
          <w:rFonts w:cs="Times New Roman"/>
        </w:rPr>
        <w:t xml:space="preserve"> and P</w:t>
      </w:r>
      <w:r w:rsidR="00AC66EB" w:rsidRPr="000B5AB5">
        <w:rPr>
          <w:rFonts w:cs="Times New Roman"/>
          <w:vertAlign w:val="subscript"/>
        </w:rPr>
        <w:t>3</w:t>
      </w:r>
      <w:r w:rsidRPr="000B5AB5">
        <w:rPr>
          <w:rFonts w:cs="Times New Roman"/>
        </w:rPr>
        <w:t xml:space="preserve"> </w:t>
      </w:r>
      <w:r w:rsidR="00B24609" w:rsidRPr="000B5AB5">
        <w:rPr>
          <w:rFonts w:cs="Times New Roman"/>
        </w:rPr>
        <w:t>are</w:t>
      </w:r>
      <w:r w:rsidRPr="000B5AB5">
        <w:rPr>
          <w:rFonts w:cs="Times New Roman"/>
        </w:rPr>
        <w:t xml:space="preserve"> calculated with uncertainty.</w:t>
      </w:r>
      <w:r w:rsidR="0020569E" w:rsidRPr="000B5AB5">
        <w:rPr>
          <w:rFonts w:cs="Times New Roman"/>
        </w:rPr>
        <w:t xml:space="preserve"> For example:</w:t>
      </w:r>
    </w:p>
    <w:p w14:paraId="1EC8FBE3" w14:textId="766F4692" w:rsidR="0020569E" w:rsidRPr="000B5AB5" w:rsidRDefault="00000000" w:rsidP="000B5AB5">
      <w:pPr>
        <w:spacing w:after="240"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=1.66±0.01psi+14.749±0.005psi</m:t>
          </m:r>
          <m:r>
            <w:rPr>
              <w:rFonts w:ascii="Cambria Math" w:eastAsiaTheme="minorEastAsia" w:hAnsi="Cambria Math" w:cs="Times New Roman"/>
            </w:rPr>
            <m:t>=16.41±</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0.01</m:t>
                          </m:r>
                        </m:num>
                        <m:den>
                          <m:r>
                            <w:rPr>
                              <w:rFonts w:ascii="Cambria Math" w:eastAsiaTheme="minorEastAsia" w:hAnsi="Cambria Math" w:cs="Times New Roman"/>
                            </w:rPr>
                            <m:t>1.66</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0.005</m:t>
                          </m:r>
                        </m:num>
                        <m:den>
                          <m:r>
                            <w:rPr>
                              <w:rFonts w:ascii="Cambria Math" w:eastAsiaTheme="minorEastAsia" w:hAnsi="Cambria Math" w:cs="Times New Roman"/>
                            </w:rPr>
                            <m:t>14.749</m:t>
                          </m:r>
                        </m:den>
                      </m:f>
                    </m:e>
                  </m:d>
                </m:e>
                <m:sup>
                  <m:r>
                    <w:rPr>
                      <w:rFonts w:ascii="Cambria Math" w:eastAsiaTheme="minorEastAsia" w:hAnsi="Cambria Math" w:cs="Times New Roman"/>
                    </w:rPr>
                    <m:t>2</m:t>
                  </m:r>
                </m:sup>
              </m:sSup>
            </m:e>
          </m:rad>
          <m:r>
            <w:rPr>
              <w:rFonts w:ascii="Cambria Math" w:eastAsiaTheme="minorEastAsia" w:hAnsi="Cambria Math" w:cs="Times New Roman"/>
            </w:rPr>
            <m:t>=16.409±0.006</m:t>
          </m:r>
        </m:oMath>
      </m:oMathPara>
    </w:p>
    <w:p w14:paraId="39D9C35C" w14:textId="28DEC4DE" w:rsidR="00D0503A" w:rsidRPr="000B5AB5" w:rsidRDefault="002B0145" w:rsidP="000B5AB5">
      <w:pPr>
        <w:spacing w:after="240" w:line="360" w:lineRule="auto"/>
        <w:rPr>
          <w:rFonts w:cs="Times New Roman"/>
        </w:rPr>
      </w:pPr>
      <w:r w:rsidRPr="000B5AB5">
        <w:rPr>
          <w:rFonts w:cs="Times New Roman"/>
        </w:rPr>
        <w:t xml:space="preserve">Now we can calculate gamma using equation </w:t>
      </w:r>
      <w:r w:rsidR="00680B48">
        <w:rPr>
          <w:rFonts w:cs="Times New Roman"/>
        </w:rPr>
        <w:t>3</w:t>
      </w:r>
      <w:r w:rsidR="00FF2694" w:rsidRPr="000B5AB5">
        <w:rPr>
          <w:rFonts w:cs="Times New Roman"/>
        </w:rPr>
        <w:t xml:space="preserve"> while formally propagating errors</w:t>
      </w:r>
      <w:r w:rsidR="00783415" w:rsidRPr="000B5AB5">
        <w:rPr>
          <w:rFonts w:cs="Times New Roman"/>
        </w:rPr>
        <w:t>:</w:t>
      </w:r>
    </w:p>
    <w:p w14:paraId="3AF6AE34" w14:textId="2D3C7D36" w:rsidR="00783415" w:rsidRPr="000B5AB5" w:rsidRDefault="00735940" w:rsidP="000B5AB5">
      <w:pPr>
        <w:spacing w:after="240" w:line="360" w:lineRule="auto"/>
        <w:ind w:left="720" w:hanging="720"/>
        <w:rPr>
          <w:rFonts w:eastAsiaTheme="minorEastAsia" w:cs="Times New Roman"/>
        </w:rPr>
      </w:pPr>
      <m:oMathPara>
        <m:oMathParaPr>
          <m:jc m:val="center"/>
        </m:oMathParaPr>
        <m:oMath>
          <m:r>
            <w:rPr>
              <w:rFonts w:ascii="Cambria Math" w:hAnsi="Cambria Math" w:cs="Times New Roman"/>
            </w:rPr>
            <m:t>γ=</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16.409±0.006</m:t>
                          </m:r>
                        </m:num>
                        <m:den>
                          <m:r>
                            <w:rPr>
                              <w:rFonts w:ascii="Cambria Math" w:hAnsi="Cambria Math" w:cs="Times New Roman"/>
                            </w:rPr>
                            <m:t>14.7</m:t>
                          </m:r>
                          <m:r>
                            <w:rPr>
                              <w:rFonts w:ascii="Cambria Math" w:hAnsi="Cambria Math" w:cs="Times New Roman"/>
                              <w:u w:val="single"/>
                            </w:rPr>
                            <m:t>4</m:t>
                          </m:r>
                          <m:r>
                            <w:rPr>
                              <w:rFonts w:ascii="Cambria Math" w:hAnsi="Cambria Math" w:cs="Times New Roman"/>
                            </w:rPr>
                            <m:t>9±0.005</m:t>
                          </m:r>
                        </m:den>
                      </m:f>
                    </m:e>
                  </m:d>
                </m:e>
              </m:func>
            </m:num>
            <m:den>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16.409±0.006</m:t>
                          </m:r>
                        </m:num>
                        <m:den>
                          <m:r>
                            <m:rPr>
                              <m:sty m:val="p"/>
                            </m:rPr>
                            <w:rPr>
                              <w:rFonts w:ascii="Cambria Math" w:hAnsi="Cambria Math" w:cs="Times New Roman"/>
                            </w:rPr>
                            <m:t>15.20±0.02</m:t>
                          </m:r>
                        </m:den>
                      </m:f>
                    </m:e>
                  </m:d>
                </m:e>
              </m:func>
            </m:den>
          </m:f>
          <m:r>
            <w:rPr>
              <w:rFonts w:ascii="Cambria Math" w:hAnsi="Cambria Math" w:cs="Times New Roman"/>
            </w:rPr>
            <m:t>=15.20±</m:t>
          </m:r>
          <m:rad>
            <m:radPr>
              <m:degHide m:val="1"/>
              <m:ctrlPr>
                <w:rPr>
                  <w:rFonts w:ascii="Cambria Math" w:hAnsi="Cambria Math" w:cs="Times New Roman"/>
                  <w:i/>
                </w:rPr>
              </m:ctrlPr>
            </m:radPr>
            <m:deg/>
            <m:e>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sub>
                <m:sup>
                  <m:r>
                    <w:rPr>
                      <w:rFonts w:ascii="Cambria Math" w:hAnsi="Cambria Math" w:cs="Times New Roman"/>
                    </w:rPr>
                    <m:t>2</m:t>
                  </m:r>
                </m:sup>
              </m:sSub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Δ</m:t>
                  </m:r>
                </m:e>
                <m:sup>
                  <m:r>
                    <w:rPr>
                      <w:rFonts w:ascii="Cambria Math" w:eastAsiaTheme="minorEastAsia" w:hAnsi="Cambria Math" w:cs="Times New Roman"/>
                    </w:rPr>
                    <m:t>2</m:t>
                  </m:r>
                </m:sup>
              </m:sSup>
              <m:d>
                <m:dPr>
                  <m:ctrlPr>
                    <w:rPr>
                      <w:rFonts w:ascii="Cambria Math" w:eastAsiaTheme="minorEastAsia" w:hAnsi="Cambria Math" w:cs="Times New Roman"/>
                      <w:i/>
                      <w:iCs/>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e>
              </m:d>
              <m:r>
                <w:rPr>
                  <w:rFonts w:ascii="Cambria Math" w:eastAsiaTheme="minorEastAsia" w:hAnsi="Cambria Math" w:cs="Times New Roman"/>
                </w:rPr>
                <m:t>+</m:t>
              </m:r>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sub>
                <m:sup>
                  <m:r>
                    <w:rPr>
                      <w:rFonts w:ascii="Cambria Math" w:hAnsi="Cambria Math" w:cs="Times New Roman"/>
                    </w:rPr>
                    <m:t>2</m:t>
                  </m:r>
                </m:sup>
              </m:sSubSup>
              <m:sSup>
                <m:sSupPr>
                  <m:ctrlPr>
                    <w:rPr>
                      <w:rFonts w:ascii="Cambria Math" w:hAnsi="Cambria Math" w:cs="Times New Roman"/>
                      <w:iCs/>
                    </w:rPr>
                  </m:ctrlPr>
                </m:sSupPr>
                <m:e>
                  <m:r>
                    <m:rPr>
                      <m:sty m:val="p"/>
                    </m:rPr>
                    <w:rPr>
                      <w:rFonts w:ascii="Cambria Math" w:hAnsi="Cambria Math" w:cs="Times New Roman"/>
                    </w:rPr>
                    <m:t>Δ</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sub>
                <m:sup>
                  <m:r>
                    <w:rPr>
                      <w:rFonts w:ascii="Cambria Math" w:hAnsi="Cambria Math" w:cs="Times New Roman"/>
                    </w:rPr>
                    <m:t>2</m:t>
                  </m:r>
                </m:sup>
              </m:sSubSup>
              <m:sSup>
                <m:sSupPr>
                  <m:ctrlPr>
                    <w:rPr>
                      <w:rFonts w:ascii="Cambria Math" w:hAnsi="Cambria Math" w:cs="Times New Roman"/>
                      <w:iCs/>
                    </w:rPr>
                  </m:ctrlPr>
                </m:sSupPr>
                <m:e>
                  <m:r>
                    <m:rPr>
                      <m:sty m:val="p"/>
                    </m:rPr>
                    <w:rPr>
                      <w:rFonts w:ascii="Cambria Math" w:hAnsi="Cambria Math" w:cs="Times New Roman"/>
                    </w:rPr>
                    <m:t>Δ</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3</m:t>
                      </m:r>
                    </m:sub>
                  </m:sSub>
                </m:e>
              </m:d>
            </m:e>
          </m:rad>
        </m:oMath>
      </m:oMathPara>
    </w:p>
    <w:p w14:paraId="30ADF31D" w14:textId="25351127" w:rsidR="00783415" w:rsidRPr="000B5AB5" w:rsidRDefault="006B2DB3" w:rsidP="000B5AB5">
      <w:pPr>
        <w:spacing w:after="240" w:line="360" w:lineRule="auto"/>
        <w:ind w:left="720" w:hanging="720"/>
        <w:rPr>
          <w:rFonts w:eastAsiaTheme="minorEastAsia" w:cs="Times New Roman"/>
        </w:rPr>
      </w:pPr>
      <w:r w:rsidRPr="000B5AB5">
        <w:rPr>
          <w:rFonts w:eastAsiaTheme="minorEastAsia" w:cs="Times New Roman"/>
        </w:rPr>
        <w:lastRenderedPageBreak/>
        <w:t xml:space="preserve">Partial derivatives of gamma with respect to various pressures </w:t>
      </w:r>
      <w:r w:rsidR="005B6F10" w:rsidRPr="000B5AB5">
        <w:rPr>
          <w:rFonts w:eastAsiaTheme="minorEastAsia" w:cs="Times New Roman"/>
        </w:rPr>
        <w:t>are</w:t>
      </w:r>
      <w:r w:rsidRPr="000B5AB5">
        <w:rPr>
          <w:rFonts w:eastAsiaTheme="minorEastAsia" w:cs="Times New Roman"/>
        </w:rPr>
        <w:t xml:space="preserve"> calculated using Mathematica.</w:t>
      </w:r>
    </w:p>
    <w:p w14:paraId="68F36373" w14:textId="6860118A" w:rsidR="00783415" w:rsidRPr="00735940" w:rsidRDefault="00A61D4A" w:rsidP="0046774E">
      <w:pPr>
        <w:keepNext/>
        <w:spacing w:line="360" w:lineRule="auto"/>
        <w:jc w:val="center"/>
        <w:rPr>
          <w:rFonts w:cs="Times New Roman"/>
        </w:rPr>
      </w:pPr>
      <w:r w:rsidRPr="00735940">
        <w:rPr>
          <w:rFonts w:cs="Times New Roman"/>
          <w:noProof/>
        </w:rPr>
        <w:drawing>
          <wp:inline distT="0" distB="0" distL="0" distR="0" wp14:anchorId="65C9F146" wp14:editId="2D37768C">
            <wp:extent cx="6391656" cy="4443984"/>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6391656" cy="4443984"/>
                    </a:xfrm>
                    <a:prstGeom prst="rect">
                      <a:avLst/>
                    </a:prstGeom>
                  </pic:spPr>
                </pic:pic>
              </a:graphicData>
            </a:graphic>
          </wp:inline>
        </w:drawing>
      </w:r>
    </w:p>
    <w:p w14:paraId="2EC02AFD" w14:textId="5C0AD8B8" w:rsidR="00117606" w:rsidRPr="006B2DB3" w:rsidRDefault="00783415" w:rsidP="00F26FA3">
      <w:pPr>
        <w:pStyle w:val="Caption"/>
        <w:jc w:val="both"/>
      </w:pPr>
      <w:r w:rsidRPr="002A50D4">
        <w:rPr>
          <w:b/>
        </w:rPr>
        <w:t xml:space="preserve">Figure </w:t>
      </w:r>
      <w:r w:rsidR="001058D0" w:rsidRPr="002A50D4">
        <w:rPr>
          <w:b/>
        </w:rPr>
        <w:fldChar w:fldCharType="begin"/>
      </w:r>
      <w:r w:rsidR="001058D0" w:rsidRPr="002A50D4">
        <w:rPr>
          <w:b/>
        </w:rPr>
        <w:instrText xml:space="preserve"> SEQ Figure \* ARABIC </w:instrText>
      </w:r>
      <w:r w:rsidR="001058D0" w:rsidRPr="002A50D4">
        <w:rPr>
          <w:b/>
        </w:rPr>
        <w:fldChar w:fldCharType="separate"/>
      </w:r>
      <w:r w:rsidR="00A2664A">
        <w:rPr>
          <w:b/>
          <w:noProof/>
        </w:rPr>
        <w:t>2</w:t>
      </w:r>
      <w:r w:rsidR="001058D0" w:rsidRPr="002A50D4">
        <w:rPr>
          <w:b/>
          <w:noProof/>
        </w:rPr>
        <w:fldChar w:fldCharType="end"/>
      </w:r>
      <w:r w:rsidR="006B2DB3" w:rsidRPr="002A50D4">
        <w:rPr>
          <w:b/>
        </w:rPr>
        <w:t>.</w:t>
      </w:r>
      <w:r w:rsidR="006B2DB3">
        <w:t xml:space="preserve"> </w:t>
      </w:r>
      <w:r w:rsidR="00680B48">
        <w:t>C</w:t>
      </w:r>
      <w:r w:rsidRPr="006B2DB3">
        <w:t>alculation of the uncertainty of gamma values using Mathematica. In[1] shows the definition of the gamma function followed by the data points. In[4] shows the calculation of gammas for each trial. In[5] shows an example calculation of the partial derivative of gamma. In[6-8] is the partial derivatives with respect to P</w:t>
      </w:r>
      <w:r w:rsidRPr="006B2DB3">
        <w:rPr>
          <w:vertAlign w:val="subscript"/>
        </w:rPr>
        <w:t>1</w:t>
      </w:r>
      <w:r w:rsidRPr="006B2DB3">
        <w:t>, P</w:t>
      </w:r>
      <w:r w:rsidRPr="006B2DB3">
        <w:rPr>
          <w:vertAlign w:val="subscript"/>
        </w:rPr>
        <w:t>2</w:t>
      </w:r>
      <w:r w:rsidRPr="006B2DB3">
        <w:t xml:space="preserve"> and P</w:t>
      </w:r>
      <w:r w:rsidRPr="006B2DB3">
        <w:rPr>
          <w:vertAlign w:val="subscript"/>
        </w:rPr>
        <w:t>3</w:t>
      </w:r>
      <w:r w:rsidRPr="006B2DB3">
        <w:t xml:space="preserve"> respectively. In[9] is an example calculation of the uncertainty of gamma for trial 1.</w:t>
      </w:r>
      <w:r w:rsidR="00A61D4A" w:rsidRPr="006B2DB3">
        <w:t xml:space="preserve"> In[10] is all gamma values and uncertainties</w:t>
      </w:r>
    </w:p>
    <w:p w14:paraId="0B15DE89" w14:textId="4F597E2A" w:rsidR="005B6F10" w:rsidRDefault="000F6BAD" w:rsidP="006F3618">
      <w:pPr>
        <w:spacing w:after="240" w:line="360" w:lineRule="auto"/>
        <w:jc w:val="both"/>
        <w:rPr>
          <w:rFonts w:eastAsiaTheme="minorEastAsia" w:cs="Times New Roman"/>
        </w:rPr>
      </w:pPr>
      <w:r w:rsidRPr="00735940">
        <w:rPr>
          <w:rFonts w:eastAsiaTheme="minorEastAsia" w:cs="Times New Roman"/>
        </w:rPr>
        <w:tab/>
      </w:r>
      <w:r w:rsidR="00807203">
        <w:rPr>
          <w:rFonts w:eastAsiaTheme="minorEastAsia" w:cs="Times New Roman"/>
        </w:rPr>
        <w:t xml:space="preserve">Gamma values and uncertainties are </w:t>
      </w:r>
      <w:r w:rsidR="005B6F10">
        <w:rPr>
          <w:rFonts w:eastAsiaTheme="minorEastAsia" w:cs="Times New Roman"/>
        </w:rPr>
        <w:t>listed in table 1</w:t>
      </w:r>
      <w:r w:rsidR="00807203">
        <w:rPr>
          <w:rFonts w:eastAsiaTheme="minorEastAsia" w:cs="Times New Roman"/>
        </w:rPr>
        <w:t xml:space="preserve"> along with measurements and pressures</w:t>
      </w:r>
      <w:r w:rsidR="005B6F10">
        <w:rPr>
          <w:rFonts w:eastAsiaTheme="minorEastAsia" w:cs="Times New Roman"/>
        </w:rPr>
        <w:t xml:space="preserve">. </w:t>
      </w:r>
      <w:r w:rsidR="006F3618">
        <w:rPr>
          <w:rFonts w:eastAsiaTheme="minorEastAsia" w:cs="Times New Roman"/>
        </w:rPr>
        <w:t>Measured values contain uncertainties of half the incremental value on the instrument. Uncertainties in P</w:t>
      </w:r>
      <w:r w:rsidR="006F3618" w:rsidRPr="006F3618">
        <w:rPr>
          <w:rFonts w:eastAsiaTheme="minorEastAsia" w:cs="Times New Roman"/>
          <w:vertAlign w:val="subscript"/>
        </w:rPr>
        <w:t>1</w:t>
      </w:r>
      <w:r w:rsidR="006F3618">
        <w:rPr>
          <w:rFonts w:eastAsiaTheme="minorEastAsia" w:cs="Times New Roman"/>
        </w:rPr>
        <w:t xml:space="preserve"> and P</w:t>
      </w:r>
      <w:r w:rsidR="006F3618" w:rsidRPr="006F3618">
        <w:rPr>
          <w:rFonts w:eastAsiaTheme="minorEastAsia" w:cs="Times New Roman"/>
          <w:vertAlign w:val="subscript"/>
        </w:rPr>
        <w:t>3</w:t>
      </w:r>
      <w:r w:rsidR="006F3618">
        <w:rPr>
          <w:rFonts w:eastAsiaTheme="minorEastAsia" w:cs="Times New Roman"/>
        </w:rPr>
        <w:t xml:space="preserve"> are propagated from P</w:t>
      </w:r>
      <w:r w:rsidR="006F3618" w:rsidRPr="006F3618">
        <w:rPr>
          <w:rFonts w:eastAsiaTheme="minorEastAsia" w:cs="Times New Roman"/>
          <w:vertAlign w:val="subscript"/>
        </w:rPr>
        <w:t>2</w:t>
      </w:r>
      <w:r w:rsidR="006F3618">
        <w:rPr>
          <w:rFonts w:eastAsiaTheme="minorEastAsia" w:cs="Times New Roman"/>
        </w:rPr>
        <w:t>. Gamma values and uncertainties are formally propagated.</w:t>
      </w:r>
    </w:p>
    <w:p w14:paraId="225086E4" w14:textId="6F764BD9" w:rsidR="008F080F" w:rsidRPr="00735940" w:rsidRDefault="000F6BAD" w:rsidP="006F3618">
      <w:pPr>
        <w:spacing w:after="240" w:line="360" w:lineRule="auto"/>
        <w:ind w:firstLine="720"/>
        <w:jc w:val="both"/>
        <w:rPr>
          <w:rFonts w:eastAsiaTheme="minorEastAsia" w:cs="Times New Roman"/>
        </w:rPr>
      </w:pPr>
      <w:r w:rsidRPr="00735940">
        <w:rPr>
          <w:rFonts w:eastAsiaTheme="minorEastAsia" w:cs="Times New Roman"/>
        </w:rPr>
        <w:t>Now</w:t>
      </w:r>
      <w:r w:rsidR="00496BCD">
        <w:rPr>
          <w:rFonts w:eastAsiaTheme="minorEastAsia" w:cs="Times New Roman"/>
        </w:rPr>
        <w:t>,</w:t>
      </w:r>
      <w:r w:rsidRPr="00735940">
        <w:rPr>
          <w:rFonts w:eastAsiaTheme="minorEastAsia" w:cs="Times New Roman"/>
        </w:rPr>
        <w:t xml:space="preserve"> we can calculate the mean </w:t>
      </w:r>
      <w:r w:rsidR="00701AD2">
        <w:rPr>
          <w:rFonts w:eastAsiaTheme="minorEastAsia" w:cs="Times New Roman"/>
        </w:rPr>
        <w:t xml:space="preserve">gamma value </w:t>
      </w:r>
      <w:r w:rsidRPr="00735940">
        <w:rPr>
          <w:rFonts w:eastAsiaTheme="minorEastAsia" w:cs="Times New Roman"/>
        </w:rPr>
        <w:t>of each gas</w:t>
      </w:r>
      <w:r w:rsidR="00701AD2">
        <w:rPr>
          <w:rFonts w:eastAsiaTheme="minorEastAsia" w:cs="Times New Roman"/>
        </w:rPr>
        <w:t xml:space="preserve"> and apply the</w:t>
      </w:r>
      <w:r w:rsidRPr="00735940">
        <w:rPr>
          <w:rFonts w:eastAsiaTheme="minorEastAsia" w:cs="Times New Roman"/>
        </w:rPr>
        <w:t xml:space="preserve"> student-t distribution. With 95% confidence and 1 degree of freedom using a two tailed distribution, the critical value is 12.7</w:t>
      </w:r>
      <w:r w:rsidR="005F7672" w:rsidRPr="00735940">
        <w:rPr>
          <w:rFonts w:eastAsiaTheme="minorEastAsia" w:cs="Times New Roman"/>
        </w:rPr>
        <w:t>1</w:t>
      </w:r>
      <w:r w:rsidRPr="00735940">
        <w:rPr>
          <w:rFonts w:eastAsiaTheme="minorEastAsia" w:cs="Times New Roman"/>
        </w:rPr>
        <w:t>.</w:t>
      </w:r>
    </w:p>
    <w:tbl>
      <w:tblPr>
        <w:tblStyle w:val="PlainTable4"/>
        <w:tblW w:w="10185" w:type="dxa"/>
        <w:tblLook w:val="04A0" w:firstRow="1" w:lastRow="0" w:firstColumn="1" w:lastColumn="0" w:noHBand="0" w:noVBand="1"/>
      </w:tblPr>
      <w:tblGrid>
        <w:gridCol w:w="2002"/>
        <w:gridCol w:w="6008"/>
        <w:gridCol w:w="2175"/>
      </w:tblGrid>
      <w:tr w:rsidR="00F3671A" w:rsidRPr="00735940" w14:paraId="4D36C2F2" w14:textId="77777777" w:rsidTr="002A50D4">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2002" w:type="dxa"/>
          </w:tcPr>
          <w:p w14:paraId="7DDB14F6" w14:textId="77777777" w:rsidR="00F3671A" w:rsidRPr="00735940" w:rsidRDefault="00F3671A" w:rsidP="00AB7712">
            <w:pPr>
              <w:keepNext/>
              <w:spacing w:line="360" w:lineRule="auto"/>
              <w:jc w:val="center"/>
              <w:rPr>
                <w:rFonts w:eastAsia="Calibri" w:cs="Times New Roman"/>
                <w:b w:val="0"/>
                <w:bCs w:val="0"/>
              </w:rPr>
            </w:pPr>
          </w:p>
        </w:tc>
        <w:tc>
          <w:tcPr>
            <w:tcW w:w="6008" w:type="dxa"/>
          </w:tcPr>
          <w:p w14:paraId="58C02BC2" w14:textId="32BBEF4E" w:rsidR="00F3671A" w:rsidRPr="00735940" w:rsidRDefault="00000000" w:rsidP="00AB7712">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b w:val="0"/>
                <w:bCs w:val="0"/>
                <w:sz w:val="24"/>
                <w:szCs w:val="24"/>
              </w:rPr>
            </w:pPr>
            <m:oMathPara>
              <m:oMath>
                <m:sSup>
                  <m:sSupPr>
                    <m:ctrlPr>
                      <w:rPr>
                        <w:rFonts w:ascii="Cambria Math" w:hAnsi="Cambria Math" w:cs="Times New Roman"/>
                        <w:b w:val="0"/>
                        <w:bCs w:val="0"/>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bCs w:val="0"/>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n-1</m:t>
                    </m:r>
                  </m:den>
                </m:f>
                <m:nary>
                  <m:naryPr>
                    <m:chr m:val="∑"/>
                    <m:limLoc m:val="undOvr"/>
                    <m:subHide m:val="1"/>
                    <m:supHide m:val="1"/>
                    <m:ctrlPr>
                      <w:rPr>
                        <w:rFonts w:ascii="Cambria Math" w:eastAsiaTheme="minorEastAsia" w:hAnsi="Cambria Math" w:cs="Times New Roman"/>
                        <w:b w:val="0"/>
                        <w:bCs w:val="0"/>
                        <w:i/>
                        <w:sz w:val="24"/>
                        <w:szCs w:val="24"/>
                      </w:rPr>
                    </m:ctrlPr>
                  </m:naryPr>
                  <m:sub/>
                  <m:sup/>
                  <m:e>
                    <m:sSup>
                      <m:sSupPr>
                        <m:ctrlPr>
                          <w:rPr>
                            <w:rFonts w:ascii="Cambria Math" w:eastAsiaTheme="minorEastAsia" w:hAnsi="Cambria Math" w:cs="Times New Roman"/>
                            <w:b w:val="0"/>
                            <w:bCs w:val="0"/>
                            <w:i/>
                            <w:sz w:val="24"/>
                            <w:szCs w:val="24"/>
                          </w:rPr>
                        </m:ctrlPr>
                      </m:sSupPr>
                      <m:e>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bar>
                          <m:barPr>
                            <m:pos m:val="top"/>
                            <m:ctrlPr>
                              <w:rPr>
                                <w:rFonts w:ascii="Cambria Math" w:eastAsiaTheme="minorEastAsia" w:hAnsi="Cambria Math" w:cs="Times New Roman"/>
                                <w:b w:val="0"/>
                                <w:bCs w:val="0"/>
                                <w:i/>
                                <w:sz w:val="24"/>
                                <w:szCs w:val="24"/>
                              </w:rPr>
                            </m:ctrlPr>
                          </m:barPr>
                          <m:e>
                            <m:r>
                              <m:rPr>
                                <m:sty m:val="bi"/>
                              </m:rPr>
                              <w:rPr>
                                <w:rFonts w:ascii="Cambria Math" w:eastAsiaTheme="minorEastAsia" w:hAnsi="Cambria Math" w:cs="Times New Roman"/>
                                <w:sz w:val="24"/>
                                <w:szCs w:val="24"/>
                              </w:rPr>
                              <m:t>x</m:t>
                            </m:r>
                          </m:e>
                        </m:bar>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e>
                </m:nary>
              </m:oMath>
            </m:oMathPara>
          </w:p>
          <w:p w14:paraId="5E4EF8EB" w14:textId="462E9109" w:rsidR="00F3671A" w:rsidRPr="00735940" w:rsidRDefault="00000000" w:rsidP="002A50D4">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m:oMathPara>
              <m:oMath>
                <m:bar>
                  <m:barPr>
                    <m:pos m:val="top"/>
                    <m:ctrlPr>
                      <w:rPr>
                        <w:rFonts w:ascii="Cambria Math" w:hAnsi="Cambria Math" w:cs="Times New Roman"/>
                        <w:b w:val="0"/>
                        <w:bCs w:val="0"/>
                        <w:i/>
                        <w:sz w:val="24"/>
                        <w:szCs w:val="24"/>
                      </w:rPr>
                    </m:ctrlPr>
                  </m:barPr>
                  <m:e>
                    <m:r>
                      <m:rPr>
                        <m:sty m:val="bi"/>
                      </m:rPr>
                      <w:rPr>
                        <w:rFonts w:ascii="Cambria Math" w:hAnsi="Cambria Math" w:cs="Times New Roman"/>
                        <w:sz w:val="24"/>
                        <w:szCs w:val="24"/>
                      </w:rPr>
                      <m:t>x</m:t>
                    </m:r>
                  </m:e>
                </m:bar>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r>
                      <m:rPr>
                        <m:sty m:val="bi"/>
                      </m:rPr>
                      <w:rPr>
                        <w:rFonts w:ascii="Cambria Math" w:hAnsi="Cambria Math" w:cs="Times New Roman"/>
                        <w:sz w:val="24"/>
                        <w:szCs w:val="24"/>
                      </w:rPr>
                      <m:t>ts</m:t>
                    </m:r>
                  </m:num>
                  <m:den>
                    <m:rad>
                      <m:radPr>
                        <m:degHide m:val="1"/>
                        <m:ctrlPr>
                          <w:rPr>
                            <w:rFonts w:ascii="Cambria Math" w:hAnsi="Cambria Math" w:cs="Times New Roman"/>
                            <w:b w:val="0"/>
                            <w:bCs w:val="0"/>
                            <w:i/>
                            <w:sz w:val="24"/>
                            <w:szCs w:val="24"/>
                          </w:rPr>
                        </m:ctrlPr>
                      </m:radPr>
                      <m:deg/>
                      <m:e>
                        <m:r>
                          <m:rPr>
                            <m:sty m:val="bi"/>
                          </m:rPr>
                          <w:rPr>
                            <w:rFonts w:ascii="Cambria Math" w:hAnsi="Cambria Math" w:cs="Times New Roman"/>
                            <w:sz w:val="24"/>
                            <w:szCs w:val="24"/>
                          </w:rPr>
                          <m:t>n</m:t>
                        </m:r>
                      </m:e>
                    </m:rad>
                  </m:den>
                </m:f>
              </m:oMath>
            </m:oMathPara>
          </w:p>
        </w:tc>
        <w:tc>
          <w:tcPr>
            <w:tcW w:w="2175" w:type="dxa"/>
          </w:tcPr>
          <w:p w14:paraId="0012A3D1" w14:textId="5CCB3074" w:rsidR="00F3671A" w:rsidRPr="00735940" w:rsidRDefault="00F3671A" w:rsidP="00AB7712">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35940">
              <w:rPr>
                <w:rFonts w:cs="Times New Roman"/>
                <w:b w:val="0"/>
                <w:bCs w:val="0"/>
              </w:rPr>
              <w:t>(</w:t>
            </w:r>
            <w:r w:rsidR="002B42A5">
              <w:rPr>
                <w:rFonts w:cs="Times New Roman"/>
                <w:b w:val="0"/>
                <w:bCs w:val="0"/>
              </w:rPr>
              <w:t>5</w:t>
            </w:r>
            <w:r w:rsidRPr="00735940">
              <w:rPr>
                <w:rFonts w:cs="Times New Roman"/>
                <w:b w:val="0"/>
                <w:bCs w:val="0"/>
              </w:rPr>
              <w:t>)</w:t>
            </w:r>
          </w:p>
          <w:p w14:paraId="39663B23" w14:textId="77777777" w:rsidR="002A50D4" w:rsidRDefault="002A50D4" w:rsidP="002A50D4">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rPr>
            </w:pPr>
          </w:p>
          <w:p w14:paraId="5FD01808" w14:textId="2252920D" w:rsidR="00F3671A" w:rsidRPr="00735940" w:rsidRDefault="00F3671A" w:rsidP="002A50D4">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940">
              <w:rPr>
                <w:rFonts w:eastAsia="Calibri" w:cs="Times New Roman"/>
                <w:b w:val="0"/>
                <w:bCs w:val="0"/>
              </w:rPr>
              <w:t>(</w:t>
            </w:r>
            <w:r w:rsidR="002B42A5">
              <w:rPr>
                <w:rFonts w:eastAsia="Calibri" w:cs="Times New Roman"/>
                <w:b w:val="0"/>
                <w:bCs w:val="0"/>
              </w:rPr>
              <w:t>6</w:t>
            </w:r>
            <w:r w:rsidRPr="00735940">
              <w:rPr>
                <w:rFonts w:eastAsia="Calibri" w:cs="Times New Roman"/>
                <w:b w:val="0"/>
                <w:bCs w:val="0"/>
              </w:rPr>
              <w:t>)</w:t>
            </w:r>
          </w:p>
        </w:tc>
      </w:tr>
    </w:tbl>
    <w:p w14:paraId="63688BD4" w14:textId="77777777" w:rsidR="00307B0A" w:rsidRDefault="00307B0A" w:rsidP="00307B0A">
      <w:pPr>
        <w:spacing w:line="360" w:lineRule="auto"/>
        <w:ind w:firstLine="720"/>
        <w:jc w:val="both"/>
        <w:rPr>
          <w:rFonts w:eastAsiaTheme="minorEastAsia" w:cs="Times New Roman"/>
        </w:rPr>
      </w:pPr>
    </w:p>
    <w:p w14:paraId="03BE203A" w14:textId="1406018B" w:rsidR="00F3671A" w:rsidRPr="00735940" w:rsidRDefault="00F6490E" w:rsidP="000B5AB5">
      <w:pPr>
        <w:spacing w:after="240" w:line="360" w:lineRule="auto"/>
        <w:rPr>
          <w:rFonts w:eastAsiaTheme="minorEastAsia" w:cs="Times New Roman"/>
        </w:rPr>
      </w:pPr>
      <w:r>
        <w:rPr>
          <w:rFonts w:eastAsiaTheme="minorEastAsia" w:cs="Times New Roman"/>
        </w:rPr>
        <w:lastRenderedPageBreak/>
        <w:t xml:space="preserve">Equation </w:t>
      </w:r>
      <w:r w:rsidR="002B42A5">
        <w:rPr>
          <w:rFonts w:eastAsiaTheme="minorEastAsia" w:cs="Times New Roman"/>
        </w:rPr>
        <w:t>5</w:t>
      </w:r>
      <w:r>
        <w:rPr>
          <w:rFonts w:eastAsiaTheme="minorEastAsia" w:cs="Times New Roman"/>
        </w:rPr>
        <w:t xml:space="preserve"> </w:t>
      </w:r>
      <w:r>
        <w:t>gives t</w:t>
      </w:r>
      <w:r w:rsidRPr="00735940">
        <w:t>he</w:t>
      </w:r>
      <w:r>
        <w:t xml:space="preserve"> squared</w:t>
      </w:r>
      <w:r w:rsidRPr="00735940">
        <w:t xml:space="preserve"> variance of a set x with n elements</w:t>
      </w:r>
      <w:r>
        <w:t xml:space="preserve">. </w:t>
      </w:r>
      <w:r w:rsidR="0012541A" w:rsidRPr="00735940">
        <w:rPr>
          <w:rFonts w:eastAsiaTheme="minorEastAsia" w:cs="Times New Roman"/>
        </w:rPr>
        <w:t xml:space="preserve">Using equation </w:t>
      </w:r>
      <w:r w:rsidR="002B42A5">
        <w:rPr>
          <w:rFonts w:eastAsiaTheme="minorEastAsia" w:cs="Times New Roman"/>
        </w:rPr>
        <w:t>5</w:t>
      </w:r>
      <w:r w:rsidR="0012541A" w:rsidRPr="00735940">
        <w:rPr>
          <w:rFonts w:eastAsiaTheme="minorEastAsia" w:cs="Times New Roman"/>
        </w:rPr>
        <w:t xml:space="preserve"> we calculate the</w:t>
      </w:r>
      <w:r>
        <w:rPr>
          <w:rFonts w:eastAsiaTheme="minorEastAsia" w:cs="Times New Roman"/>
        </w:rPr>
        <w:t xml:space="preserve"> variance of our nitrogen data</w:t>
      </w:r>
      <w:r w:rsidR="0012541A" w:rsidRPr="00735940">
        <w:rPr>
          <w:rFonts w:eastAsiaTheme="minorEastAsia" w:cs="Times New Roman"/>
        </w:rPr>
        <w:t>:</w:t>
      </w:r>
    </w:p>
    <w:p w14:paraId="4F71B7F0" w14:textId="0C348941" w:rsidR="00433E49" w:rsidRPr="00735940" w:rsidRDefault="00735940" w:rsidP="000B5AB5">
      <w:pPr>
        <w:spacing w:after="240" w:line="360" w:lineRule="auto"/>
        <w:rPr>
          <w:rFonts w:eastAsiaTheme="minorEastAsia" w:cs="Times New Roman"/>
        </w:rPr>
      </w:pPr>
      <m:oMathPara>
        <m:oMath>
          <m:r>
            <w:rPr>
              <w:rFonts w:ascii="Cambria Math" w:eastAsiaTheme="minorEastAsia" w:hAnsi="Cambria Math" w:cs="Times New Roman"/>
            </w:rPr>
            <m:t>s=</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(1.39-1.38)</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(1.37-1.38)</m:t>
                  </m:r>
                </m:e>
                <m:sup>
                  <m:r>
                    <w:rPr>
                      <w:rFonts w:ascii="Cambria Math" w:eastAsiaTheme="minorEastAsia" w:hAnsi="Cambria Math" w:cs="Times New Roman"/>
                    </w:rPr>
                    <m:t>2</m:t>
                  </m:r>
                </m:sup>
              </m:sSup>
            </m:e>
          </m:rad>
          <m:r>
            <w:rPr>
              <w:rFonts w:ascii="Cambria Math" w:eastAsiaTheme="minorEastAsia" w:hAnsi="Cambria Math" w:cs="Times New Roman"/>
            </w:rPr>
            <m:t xml:space="preserve">=0.0125 </m:t>
          </m:r>
        </m:oMath>
      </m:oMathPara>
    </w:p>
    <w:p w14:paraId="6F890AF3" w14:textId="558DA542" w:rsidR="00433E49" w:rsidRPr="00735940" w:rsidRDefault="00433E49" w:rsidP="000B5AB5">
      <w:pPr>
        <w:spacing w:after="240" w:line="360" w:lineRule="auto"/>
        <w:jc w:val="both"/>
        <w:rPr>
          <w:rFonts w:eastAsiaTheme="minorEastAsia" w:cs="Times New Roman"/>
        </w:rPr>
      </w:pPr>
      <w:r w:rsidRPr="00735940">
        <w:rPr>
          <w:rFonts w:eastAsiaTheme="minorEastAsia" w:cs="Times New Roman"/>
        </w:rPr>
        <w:t xml:space="preserve">Using equation </w:t>
      </w:r>
      <w:r w:rsidR="002B42A5">
        <w:rPr>
          <w:rFonts w:eastAsiaTheme="minorEastAsia" w:cs="Times New Roman"/>
        </w:rPr>
        <w:t>6</w:t>
      </w:r>
      <w:r w:rsidRPr="00735940">
        <w:rPr>
          <w:rFonts w:eastAsiaTheme="minorEastAsia" w:cs="Times New Roman"/>
        </w:rPr>
        <w:t xml:space="preserve"> we can find the 95% confidence interval</w:t>
      </w:r>
      <w:r w:rsidR="00701AD2">
        <w:rPr>
          <w:rFonts w:eastAsiaTheme="minorEastAsia" w:cs="Times New Roman"/>
        </w:rPr>
        <w:t xml:space="preserve"> for </w:t>
      </w:r>
      <w:r w:rsidR="00541A86">
        <w:rPr>
          <w:rFonts w:eastAsiaTheme="minorEastAsia" w:cs="Times New Roman"/>
        </w:rPr>
        <w:t xml:space="preserve">our </w:t>
      </w:r>
      <w:r w:rsidR="00701AD2">
        <w:rPr>
          <w:rFonts w:eastAsiaTheme="minorEastAsia" w:cs="Times New Roman"/>
        </w:rPr>
        <w:t>nitrogen</w:t>
      </w:r>
      <w:r w:rsidR="00541A86">
        <w:rPr>
          <w:rFonts w:eastAsiaTheme="minorEastAsia" w:cs="Times New Roman"/>
        </w:rPr>
        <w:t xml:space="preserve"> data with critical value t</w:t>
      </w:r>
      <w:r w:rsidRPr="00735940">
        <w:rPr>
          <w:rFonts w:eastAsiaTheme="minorEastAsia" w:cs="Times New Roman"/>
        </w:rPr>
        <w:t>:</w:t>
      </w:r>
    </w:p>
    <w:p w14:paraId="4DAFAA64" w14:textId="533B6413" w:rsidR="00F3671A" w:rsidRPr="00D50C01" w:rsidRDefault="00735940" w:rsidP="00D50C01">
      <w:pPr>
        <w:spacing w:after="240" w:line="360" w:lineRule="auto"/>
        <w:rPr>
          <w:rFonts w:eastAsiaTheme="minorEastAsia" w:cs="Times New Roman"/>
        </w:rPr>
      </w:pPr>
      <m:oMathPara>
        <m:oMath>
          <m:r>
            <w:rPr>
              <w:rFonts w:ascii="Cambria Math" w:eastAsiaTheme="minorEastAsia" w:hAnsi="Cambria Math" w:cs="Times New Roman"/>
            </w:rPr>
            <m:t>1.38±</m:t>
          </m:r>
          <m:f>
            <m:fPr>
              <m:ctrlPr>
                <w:rPr>
                  <w:rFonts w:ascii="Cambria Math" w:eastAsiaTheme="minorEastAsia" w:hAnsi="Cambria Math" w:cs="Times New Roman"/>
                  <w:i/>
                </w:rPr>
              </m:ctrlPr>
            </m:fPr>
            <m:num>
              <m:r>
                <w:rPr>
                  <w:rFonts w:ascii="Cambria Math" w:eastAsiaTheme="minorEastAsia" w:hAnsi="Cambria Math" w:cs="Times New Roman"/>
                </w:rPr>
                <m:t xml:space="preserve">12.71×0.0125 </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r>
            <w:rPr>
              <w:rFonts w:ascii="Cambria Math" w:eastAsiaTheme="minorEastAsia" w:hAnsi="Cambria Math" w:cs="Times New Roman"/>
            </w:rPr>
            <m:t>=1.38±0.</m:t>
          </m:r>
          <m:r>
            <w:rPr>
              <w:rFonts w:ascii="Cambria Math" w:eastAsiaTheme="minorEastAsia" w:hAnsi="Cambria Math" w:cs="Times New Roman"/>
            </w:rPr>
            <m:t>11</m:t>
          </m:r>
        </m:oMath>
      </m:oMathPara>
    </w:p>
    <w:p w14:paraId="1152159F" w14:textId="543BC7DA" w:rsidR="00D50C01" w:rsidRDefault="00D50C01" w:rsidP="000B5AB5">
      <w:pPr>
        <w:spacing w:after="240" w:line="360" w:lineRule="auto"/>
        <w:ind w:firstLine="720"/>
        <w:jc w:val="both"/>
      </w:pPr>
      <w:r>
        <w:t>All Gamma values with 95% confidence are listed in table 2.</w:t>
      </w:r>
    </w:p>
    <w:p w14:paraId="6559581F" w14:textId="50F63B69" w:rsidR="00616694" w:rsidRDefault="00DC7D77" w:rsidP="000B5AB5">
      <w:pPr>
        <w:spacing w:after="240" w:line="360" w:lineRule="auto"/>
        <w:ind w:firstLine="720"/>
        <w:jc w:val="both"/>
        <w:rPr>
          <w:rFonts w:eastAsiaTheme="minorEastAsia"/>
        </w:rPr>
      </w:pPr>
      <w:r>
        <w:t>Checking the literature,</w:t>
      </w:r>
      <w:r w:rsidR="00070463">
        <w:t xml:space="preserve"> we find </w:t>
      </w:r>
      <m:oMath>
        <m:r>
          <m:rPr>
            <m:sty m:val="p"/>
          </m:rPr>
          <w:rPr>
            <w:rFonts w:ascii="Cambria Math" w:eastAsiaTheme="minorEastAsia" w:hAnsi="Cambria Math" w:cs="Times New Roman"/>
          </w:rPr>
          <m:t>γ</m:t>
        </m:r>
        <m:r>
          <m:rPr>
            <m:sty m:val="p"/>
          </m:rPr>
          <w:rPr>
            <w:rFonts w:ascii="Cambria Math" w:eastAsiaTheme="minorEastAsia" w:cs="Times New Roman"/>
          </w:rPr>
          <m:t>=</m:t>
        </m:r>
        <m:r>
          <w:rPr>
            <w:rFonts w:ascii="Cambria Math" w:eastAsiaTheme="minorEastAsia" w:hAnsi="Cambria Math" w:cs="Times New Roman"/>
          </w:rPr>
          <m:t>1.44±0.07</m:t>
        </m:r>
      </m:oMath>
      <w:r w:rsidR="00070463">
        <w:rPr>
          <w:rFonts w:eastAsiaTheme="minorEastAsia"/>
        </w:rPr>
        <w:t xml:space="preserve"> for nitrogen and </w:t>
      </w:r>
      <m:oMath>
        <m:r>
          <m:rPr>
            <m:sty m:val="p"/>
          </m:rPr>
          <w:rPr>
            <w:rFonts w:ascii="Cambria Math" w:eastAsiaTheme="minorEastAsia" w:hAnsi="Cambria Math" w:cs="Times New Roman"/>
          </w:rPr>
          <m:t>γ</m:t>
        </m:r>
        <m:r>
          <m:rPr>
            <m:sty m:val="p"/>
          </m:rPr>
          <w:rPr>
            <w:rFonts w:ascii="Cambria Math" w:eastAsiaTheme="minorEastAsia" w:cs="Times New Roman"/>
          </w:rPr>
          <m:t>=</m:t>
        </m:r>
        <m:r>
          <w:rPr>
            <w:rFonts w:ascii="Cambria Math" w:eastAsiaTheme="minorEastAsia" w:hAnsi="Cambria Math" w:cs="Times New Roman"/>
          </w:rPr>
          <m:t>1.7±0.1</m:t>
        </m:r>
      </m:oMath>
      <w:r w:rsidR="00070463">
        <w:rPr>
          <w:rFonts w:eastAsiaTheme="minorEastAsia"/>
        </w:rPr>
        <w:t xml:space="preserve"> for argon both with </w:t>
      </w:r>
      <w:r w:rsidR="00616694">
        <w:rPr>
          <w:rFonts w:eastAsiaTheme="minorEastAsia"/>
        </w:rPr>
        <w:t>two</w:t>
      </w:r>
      <w:r w:rsidR="00070463">
        <w:rPr>
          <w:rFonts w:eastAsiaTheme="minorEastAsia"/>
        </w:rPr>
        <w:t xml:space="preserve"> standard deviations of uncertainty.</w:t>
      </w:r>
      <w:r w:rsidR="00D512B1">
        <w:rPr>
          <w:rFonts w:eastAsiaTheme="minorEastAsia"/>
        </w:rPr>
        <w:t xml:space="preserve"> </w:t>
      </w:r>
      <w:r w:rsidR="00D512B1" w:rsidRPr="00616694">
        <w:rPr>
          <w:rFonts w:eastAsiaTheme="minorEastAsia"/>
          <w:vertAlign w:val="superscript"/>
        </w:rPr>
        <w:t>[2]</w:t>
      </w:r>
      <w:r w:rsidR="0075364E">
        <w:rPr>
          <w:rFonts w:eastAsiaTheme="minorEastAsia"/>
        </w:rPr>
        <w:t xml:space="preserve"> </w:t>
      </w:r>
      <w:r>
        <w:rPr>
          <w:rFonts w:eastAsiaTheme="minorEastAsia"/>
        </w:rPr>
        <w:t>We can now compare our gamma values with 95% confidence from table 2 with literature values. W</w:t>
      </w:r>
      <w:r w:rsidR="005E4FE0">
        <w:rPr>
          <w:rFonts w:eastAsiaTheme="minorEastAsia"/>
        </w:rPr>
        <w:t>e</w:t>
      </w:r>
      <w:r w:rsidR="00616694">
        <w:rPr>
          <w:rFonts w:eastAsiaTheme="minorEastAsia"/>
        </w:rPr>
        <w:t xml:space="preserve"> determine if </w:t>
      </w:r>
      <w:r w:rsidR="00091660">
        <w:rPr>
          <w:rFonts w:eastAsiaTheme="minorEastAsia"/>
        </w:rPr>
        <w:t>zero</w:t>
      </w:r>
      <w:r w:rsidR="00616694">
        <w:rPr>
          <w:rFonts w:eastAsiaTheme="minorEastAsia"/>
        </w:rPr>
        <w:t xml:space="preserve"> falls within the rang</w:t>
      </w:r>
      <w:r w:rsidR="00091660">
        <w:rPr>
          <w:rFonts w:eastAsiaTheme="minorEastAsia"/>
        </w:rPr>
        <w:t xml:space="preserve">e of the difference of the values </w:t>
      </w:r>
      <m:oMath>
        <m:r>
          <w:rPr>
            <w:rFonts w:ascii="Cambria Math" w:eastAsiaTheme="minorEastAsia" w:hAnsi="Cambria Math"/>
          </w:rPr>
          <m:t>±</m:t>
        </m:r>
      </m:oMath>
      <w:r w:rsidR="00091660">
        <w:rPr>
          <w:rFonts w:eastAsiaTheme="minorEastAsia"/>
        </w:rPr>
        <w:t xml:space="preserve"> the uncertainties added in quadrature</w:t>
      </w:r>
      <w:r w:rsidR="00616694">
        <w:rPr>
          <w:rFonts w:eastAsiaTheme="minorEastAsia"/>
        </w:rPr>
        <w:t xml:space="preserve">. For nitrogen we find </w:t>
      </w:r>
      <w:r w:rsidR="000B5AB5">
        <w:rPr>
          <w:rFonts w:eastAsiaTheme="minorEastAsia"/>
        </w:rPr>
        <w:t>zero</w:t>
      </w:r>
      <w:r w:rsidR="00616694">
        <w:rPr>
          <w:rFonts w:eastAsiaTheme="minorEastAsia"/>
        </w:rPr>
        <w:t xml:space="preserve"> within</w:t>
      </w:r>
      <w:r w:rsidR="007453F6">
        <w:rPr>
          <w:rFonts w:eastAsiaTheme="minorEastAsia"/>
        </w:rPr>
        <w:t xml:space="preserve"> said</w:t>
      </w:r>
      <w:r w:rsidR="00616694">
        <w:rPr>
          <w:rFonts w:eastAsiaTheme="minorEastAsia"/>
        </w:rPr>
        <w:t xml:space="preserve"> range:</w:t>
      </w:r>
    </w:p>
    <w:p w14:paraId="34E59087" w14:textId="04BFB2FB" w:rsidR="00616694" w:rsidRPr="00616694" w:rsidRDefault="00616694" w:rsidP="000B5AB5">
      <w:pPr>
        <w:spacing w:after="240" w:line="360" w:lineRule="auto"/>
        <w:ind w:firstLine="720"/>
        <w:jc w:val="both"/>
        <w:rPr>
          <w:rFonts w:eastAsiaTheme="minorEastAsia"/>
        </w:rPr>
      </w:pPr>
      <m:oMathPara>
        <m:oMath>
          <m:r>
            <w:rPr>
              <w:rFonts w:ascii="Cambria Math" w:eastAsiaTheme="minorEastAsia" w:hAnsi="Cambria Math"/>
            </w:rPr>
            <m:t>1.44-1.38±</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0.11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2</m:t>
                  </m:r>
                </m:sup>
              </m:sSup>
            </m:e>
          </m:rad>
          <m:r>
            <w:rPr>
              <w:rFonts w:ascii="Cambria Math" w:eastAsiaTheme="minorEastAsia" w:hAnsi="Cambria Math"/>
            </w:rPr>
            <m:t>=0.06±0.13</m:t>
          </m:r>
        </m:oMath>
      </m:oMathPara>
    </w:p>
    <w:p w14:paraId="34DB57F6" w14:textId="77777777" w:rsidR="00C10AC7" w:rsidRDefault="00616694" w:rsidP="000B5AB5">
      <w:pPr>
        <w:spacing w:after="240" w:line="360" w:lineRule="auto"/>
        <w:jc w:val="both"/>
        <w:rPr>
          <w:rFonts w:eastAsiaTheme="minorEastAsia"/>
        </w:rPr>
      </w:pPr>
      <w:r>
        <w:rPr>
          <w:rFonts w:eastAsiaTheme="minorEastAsia"/>
        </w:rPr>
        <w:t xml:space="preserve">Thus, our experimental nitrogen value agrees with the literature value. For argon we find 0 </w:t>
      </w:r>
      <w:r w:rsidR="00F6490E">
        <w:rPr>
          <w:rFonts w:eastAsiaTheme="minorEastAsia"/>
        </w:rPr>
        <w:t>inside</w:t>
      </w:r>
      <w:r>
        <w:rPr>
          <w:rFonts w:eastAsiaTheme="minorEastAsia"/>
        </w:rPr>
        <w:t xml:space="preserve"> the range</w:t>
      </w:r>
      <w:r w:rsidR="00F6490E">
        <w:rPr>
          <w:rFonts w:eastAsiaTheme="minorEastAsia"/>
        </w:rPr>
        <w:t xml:space="preserve"> as well</w:t>
      </w:r>
      <w:r>
        <w:rPr>
          <w:rFonts w:eastAsiaTheme="minorEastAsia"/>
        </w:rPr>
        <w:t xml:space="preserve">, so our values </w:t>
      </w:r>
      <w:r w:rsidR="00F6490E">
        <w:rPr>
          <w:rFonts w:eastAsiaTheme="minorEastAsia"/>
        </w:rPr>
        <w:t xml:space="preserve">also </w:t>
      </w:r>
      <w:r>
        <w:rPr>
          <w:rFonts w:eastAsiaTheme="minorEastAsia"/>
        </w:rPr>
        <w:t>agree.</w:t>
      </w:r>
      <w:r w:rsidR="00F6490E">
        <w:rPr>
          <w:rFonts w:eastAsiaTheme="minorEastAsia"/>
        </w:rPr>
        <w:t xml:space="preserve"> Unfortunately, there was a relatively large variance of 0.95 within our set of data for argon, compared to 0.0125 for nitrogen. </w:t>
      </w:r>
      <w:r w:rsidR="005E4FE0">
        <w:rPr>
          <w:rFonts w:eastAsiaTheme="minorEastAsia"/>
        </w:rPr>
        <w:t>More experimental data is needed to get a more precise value of gamma for argon.</w:t>
      </w:r>
    </w:p>
    <w:p w14:paraId="19422061" w14:textId="7E82EF14" w:rsidR="00A527D8" w:rsidRPr="00D74862" w:rsidRDefault="005E4FE0" w:rsidP="000B5AB5">
      <w:pPr>
        <w:spacing w:after="240" w:line="360" w:lineRule="auto"/>
        <w:ind w:firstLine="720"/>
        <w:jc w:val="both"/>
        <w:rPr>
          <w:rFonts w:eastAsiaTheme="minorEastAsia"/>
        </w:rPr>
      </w:pPr>
      <w:r>
        <w:rPr>
          <w:rFonts w:eastAsiaTheme="minorEastAsia"/>
        </w:rPr>
        <w:t>The</w:t>
      </w:r>
      <w:r w:rsidR="00AB275F">
        <w:rPr>
          <w:rFonts w:eastAsiaTheme="minorEastAsia"/>
        </w:rPr>
        <w:t>re were two</w:t>
      </w:r>
      <w:r>
        <w:rPr>
          <w:rFonts w:eastAsiaTheme="minorEastAsia"/>
        </w:rPr>
        <w:t xml:space="preserve"> main difference</w:t>
      </w:r>
      <w:r w:rsidR="00AB275F">
        <w:rPr>
          <w:rFonts w:eastAsiaTheme="minorEastAsia"/>
        </w:rPr>
        <w:t>s</w:t>
      </w:r>
      <w:r>
        <w:rPr>
          <w:rFonts w:eastAsiaTheme="minorEastAsia"/>
        </w:rPr>
        <w:t xml:space="preserve"> during the </w:t>
      </w:r>
      <w:r w:rsidR="00C10AC7">
        <w:rPr>
          <w:rFonts w:eastAsiaTheme="minorEastAsia"/>
        </w:rPr>
        <w:t>trials of argon</w:t>
      </w:r>
      <w:r w:rsidR="00AB275F">
        <w:rPr>
          <w:rFonts w:eastAsiaTheme="minorEastAsia"/>
        </w:rPr>
        <w:t>. The jug was capped more quickly in the second trial, and the capping and uncapping process was faster in the second trial.</w:t>
      </w:r>
      <w:r w:rsidRPr="00D74862">
        <w:rPr>
          <w:rFonts w:eastAsiaTheme="minorEastAsia"/>
        </w:rPr>
        <w:t xml:space="preserve"> We originally thought</w:t>
      </w:r>
      <w:r w:rsidR="00AB275F">
        <w:rPr>
          <w:rFonts w:eastAsiaTheme="minorEastAsia"/>
        </w:rPr>
        <w:t xml:space="preserve"> the low gamma value</w:t>
      </w:r>
      <w:r w:rsidRPr="00D74862">
        <w:rPr>
          <w:rFonts w:eastAsiaTheme="minorEastAsia"/>
        </w:rPr>
        <w:t xml:space="preserve"> was due to </w:t>
      </w:r>
      <w:r w:rsidR="00AB275F">
        <w:rPr>
          <w:rFonts w:eastAsiaTheme="minorEastAsia"/>
        </w:rPr>
        <w:t xml:space="preserve">air </w:t>
      </w:r>
      <w:r w:rsidRPr="00D74862">
        <w:rPr>
          <w:rFonts w:eastAsiaTheme="minorEastAsia"/>
        </w:rPr>
        <w:t xml:space="preserve">entering the system during the first trial. This is likely not the case because the </w:t>
      </w:r>
      <w:r w:rsidR="00AB275F">
        <w:rPr>
          <w:rFonts w:eastAsiaTheme="minorEastAsia"/>
        </w:rPr>
        <w:t xml:space="preserve">calculated </w:t>
      </w:r>
      <w:r w:rsidRPr="00D74862">
        <w:rPr>
          <w:rFonts w:eastAsiaTheme="minorEastAsia"/>
        </w:rPr>
        <w:t xml:space="preserve">gamma value would not have been lower than the gamma of the atmosphere (1.44 </w:t>
      </w:r>
      <w:r w:rsidRPr="00D74862">
        <w:rPr>
          <w:rFonts w:eastAsiaTheme="minorEastAsia"/>
          <w:vertAlign w:val="superscript"/>
        </w:rPr>
        <w:t>[2]</w:t>
      </w:r>
      <w:r w:rsidRPr="00D74862">
        <w:rPr>
          <w:rFonts w:eastAsiaTheme="minorEastAsia"/>
        </w:rPr>
        <w:t xml:space="preserve"> compared to 1.35 for the first argon trial)</w:t>
      </w:r>
      <w:r w:rsidR="00C10AC7" w:rsidRPr="00D74862">
        <w:rPr>
          <w:rFonts w:eastAsiaTheme="minorEastAsia"/>
        </w:rPr>
        <w:t>.</w:t>
      </w:r>
      <w:r w:rsidRPr="00D74862">
        <w:rPr>
          <w:rFonts w:eastAsiaTheme="minorEastAsia"/>
        </w:rPr>
        <w:t xml:space="preserve"> </w:t>
      </w:r>
      <w:r w:rsidR="00C10AC7" w:rsidRPr="00D74862">
        <w:rPr>
          <w:rFonts w:eastAsiaTheme="minorEastAsia"/>
        </w:rPr>
        <w:t>I</w:t>
      </w:r>
      <w:r w:rsidRPr="00D74862">
        <w:rPr>
          <w:rFonts w:eastAsiaTheme="minorEastAsia"/>
        </w:rPr>
        <w:t xml:space="preserve">f </w:t>
      </w:r>
      <w:r w:rsidR="00AB275F">
        <w:rPr>
          <w:rFonts w:eastAsiaTheme="minorEastAsia"/>
        </w:rPr>
        <w:t>the air theory is true</w:t>
      </w:r>
      <w:r w:rsidRPr="00D74862">
        <w:rPr>
          <w:rFonts w:eastAsiaTheme="minorEastAsia"/>
        </w:rPr>
        <w:t xml:space="preserve">, the entire volume of argon would have had to been displaced within a few seconds, which likely did not happen. </w:t>
      </w:r>
    </w:p>
    <w:p w14:paraId="3F31626A" w14:textId="520A914D" w:rsidR="004878C4" w:rsidRDefault="003E5C49" w:rsidP="000B5AB5">
      <w:pPr>
        <w:spacing w:after="240" w:line="360" w:lineRule="auto"/>
        <w:ind w:firstLine="720"/>
        <w:jc w:val="both"/>
        <w:rPr>
          <w:rFonts w:eastAsiaTheme="minorEastAsia"/>
        </w:rPr>
      </w:pPr>
      <w:r>
        <w:rPr>
          <w:rFonts w:eastAsiaTheme="minorEastAsia"/>
        </w:rPr>
        <w:t>Comparing values: t</w:t>
      </w:r>
      <w:r w:rsidR="00043186" w:rsidRPr="00043186">
        <w:rPr>
          <w:rFonts w:eastAsiaTheme="minorEastAsia"/>
        </w:rPr>
        <w:t xml:space="preserve">he measurement for </w:t>
      </w:r>
      <w:r w:rsidR="00406B1A" w:rsidRPr="00406B1A">
        <w:rPr>
          <w:rFonts w:eastAsiaTheme="minorEastAsia"/>
        </w:rPr>
        <w:t>P</w:t>
      </w:r>
      <w:r w:rsidR="00406B1A" w:rsidRPr="00406B1A">
        <w:rPr>
          <w:rFonts w:eastAsiaTheme="minorEastAsia"/>
          <w:vertAlign w:val="subscript"/>
        </w:rPr>
        <w:t>3</w:t>
      </w:r>
      <w:r w:rsidR="00406B1A">
        <w:rPr>
          <w:rFonts w:eastAsiaTheme="minorEastAsia"/>
        </w:rPr>
        <w:t xml:space="preserve"> </w:t>
      </w:r>
      <w:r w:rsidR="00043186" w:rsidRPr="00406B1A">
        <w:rPr>
          <w:rFonts w:eastAsiaTheme="minorEastAsia"/>
        </w:rPr>
        <w:t>i</w:t>
      </w:r>
      <w:r w:rsidR="00043186" w:rsidRPr="00043186">
        <w:rPr>
          <w:rFonts w:eastAsiaTheme="minorEastAsia"/>
        </w:rPr>
        <w:t>s consistent</w:t>
      </w:r>
      <w:r w:rsidR="00043186">
        <w:rPr>
          <w:rFonts w:eastAsiaTheme="minorEastAsia"/>
        </w:rPr>
        <w:t xml:space="preserve"> within 0.5%</w:t>
      </w:r>
      <w:r w:rsidR="00043186" w:rsidRPr="00043186">
        <w:rPr>
          <w:rFonts w:eastAsiaTheme="minorEastAsia"/>
        </w:rPr>
        <w:t xml:space="preserve"> between the two trials, but </w:t>
      </w:r>
      <w:r w:rsidR="00131889">
        <w:rPr>
          <w:rFonts w:eastAsiaTheme="minorEastAsia"/>
        </w:rPr>
        <w:t>P</w:t>
      </w:r>
      <w:r w:rsidR="00131889" w:rsidRPr="00406B1A">
        <w:rPr>
          <w:rFonts w:eastAsiaTheme="minorEastAsia"/>
          <w:vertAlign w:val="subscript"/>
        </w:rPr>
        <w:t>3</w:t>
      </w:r>
      <w:r w:rsidR="00043186" w:rsidRPr="00131889">
        <w:rPr>
          <w:rFonts w:eastAsiaTheme="minorEastAsia"/>
        </w:rPr>
        <w:t xml:space="preserve"> </w:t>
      </w:r>
      <w:r w:rsidR="00043186" w:rsidRPr="00043186">
        <w:rPr>
          <w:rFonts w:eastAsiaTheme="minorEastAsia"/>
        </w:rPr>
        <w:t xml:space="preserve">is </w:t>
      </w:r>
      <w:r w:rsidR="00043186">
        <w:rPr>
          <w:rFonts w:eastAsiaTheme="minorEastAsia"/>
        </w:rPr>
        <w:t>larger</w:t>
      </w:r>
      <w:r w:rsidR="00043186" w:rsidRPr="00043186">
        <w:rPr>
          <w:rFonts w:eastAsiaTheme="minorEastAsia"/>
        </w:rPr>
        <w:t xml:space="preserve"> in trial </w:t>
      </w:r>
      <w:r w:rsidR="00043186">
        <w:rPr>
          <w:rFonts w:eastAsiaTheme="minorEastAsia"/>
        </w:rPr>
        <w:t>2 by 1.</w:t>
      </w:r>
      <w:r w:rsidR="00C900B3">
        <w:rPr>
          <w:rFonts w:eastAsiaTheme="minorEastAsia"/>
        </w:rPr>
        <w:t>1</w:t>
      </w:r>
      <w:r w:rsidR="00043186">
        <w:rPr>
          <w:rFonts w:eastAsiaTheme="minorEastAsia"/>
        </w:rPr>
        <w:t>%</w:t>
      </w:r>
      <w:r w:rsidR="00043186" w:rsidRPr="00043186">
        <w:rPr>
          <w:rFonts w:eastAsiaTheme="minorEastAsia"/>
        </w:rPr>
        <w:t xml:space="preserve">. </w:t>
      </w:r>
      <w:r w:rsidR="006E2942">
        <w:rPr>
          <w:rFonts w:eastAsiaTheme="minorEastAsia"/>
        </w:rPr>
        <w:t>When we look at the actual gauge values</w:t>
      </w:r>
      <w:r w:rsidR="00C900B3">
        <w:rPr>
          <w:rFonts w:eastAsiaTheme="minorEastAsia"/>
        </w:rPr>
        <w:t>,</w:t>
      </w:r>
      <w:r w:rsidR="006E2942">
        <w:rPr>
          <w:rFonts w:eastAsiaTheme="minorEastAsia"/>
        </w:rPr>
        <w:t xml:space="preserve"> the difference becomes 5% for </w:t>
      </w:r>
      <w:r w:rsidR="00406B1A">
        <w:rPr>
          <w:rFonts w:eastAsiaTheme="minorEastAsia"/>
        </w:rPr>
        <w:t>P</w:t>
      </w:r>
      <w:r w:rsidR="00406B1A">
        <w:rPr>
          <w:rFonts w:eastAsiaTheme="minorEastAsia"/>
          <w:vertAlign w:val="subscript"/>
        </w:rPr>
        <w:t>1</w:t>
      </w:r>
      <w:r w:rsidR="006E2942">
        <w:rPr>
          <w:rFonts w:eastAsiaTheme="minorEastAsia"/>
        </w:rPr>
        <w:t xml:space="preserve"> and 41% for</w:t>
      </w:r>
      <w:r w:rsidR="006E2942" w:rsidRPr="00131889">
        <w:rPr>
          <w:rFonts w:eastAsiaTheme="minor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w:r w:rsidR="006E2942">
        <w:rPr>
          <w:rFonts w:eastAsiaTheme="minorEastAsia"/>
        </w:rPr>
        <w:t>.</w:t>
      </w:r>
      <w:r w:rsidR="00E417AF">
        <w:rPr>
          <w:rFonts w:eastAsiaTheme="minorEastAsia"/>
        </w:rPr>
        <w:t xml:space="preserve"> W</w:t>
      </w:r>
      <w:r w:rsidR="00C900B3">
        <w:rPr>
          <w:rFonts w:eastAsiaTheme="minorEastAsia"/>
        </w:rPr>
        <w:t xml:space="preserve">ith a smaller </w:t>
      </w:r>
      <w:r w:rsidR="00406B1A">
        <w:rPr>
          <w:rFonts w:eastAsiaTheme="minorEastAsia"/>
        </w:rPr>
        <w:t>P</w:t>
      </w:r>
      <w:r w:rsidR="00406B1A">
        <w:rPr>
          <w:rFonts w:eastAsiaTheme="minorEastAsia"/>
          <w:vertAlign w:val="subscript"/>
        </w:rPr>
        <w:t>1</w:t>
      </w:r>
      <w:r w:rsidR="00406B1A">
        <w:rPr>
          <w:rFonts w:eastAsiaTheme="minorEastAsia"/>
        </w:rPr>
        <w:t xml:space="preserve"> </w:t>
      </w:r>
      <w:r w:rsidR="00C900B3">
        <w:rPr>
          <w:rFonts w:eastAsiaTheme="minorEastAsia"/>
        </w:rPr>
        <w:t>we expect a smaller</w:t>
      </w:r>
      <w:r w:rsidR="00406B1A">
        <w:rPr>
          <w:rFonts w:eastAsiaTheme="minorEastAsia"/>
        </w:rPr>
        <w:t xml:space="preserve"> </w:t>
      </w:r>
      <w:r w:rsidR="00406B1A">
        <w:rPr>
          <w:rFonts w:eastAsiaTheme="minorEastAsia"/>
        </w:rPr>
        <w:t>P</w:t>
      </w:r>
      <w:r w:rsidR="00406B1A" w:rsidRPr="00406B1A">
        <w:rPr>
          <w:rFonts w:eastAsiaTheme="minorEastAsia"/>
          <w:vertAlign w:val="subscript"/>
        </w:rPr>
        <w:t>3</w:t>
      </w:r>
      <w:r w:rsidR="00C900B3">
        <w:rPr>
          <w:rFonts w:eastAsiaTheme="minorEastAsia"/>
        </w:rPr>
        <w:t xml:space="preserve">, although </w:t>
      </w:r>
      <w:r>
        <w:rPr>
          <w:rFonts w:eastAsiaTheme="minorEastAsia"/>
        </w:rPr>
        <w:t>the difference here seems significant</w:t>
      </w:r>
      <w:r w:rsidR="00C900B3">
        <w:rPr>
          <w:rFonts w:eastAsiaTheme="minorEastAsia"/>
        </w:rPr>
        <w:t>. There are multiple possibilities for such a low value</w:t>
      </w:r>
      <w:r>
        <w:rPr>
          <w:rFonts w:eastAsiaTheme="minorEastAsia"/>
        </w:rPr>
        <w:t>:</w:t>
      </w:r>
      <w:r w:rsidR="00C900B3">
        <w:rPr>
          <w:rFonts w:eastAsiaTheme="minorEastAsia"/>
        </w:rPr>
        <w:t xml:space="preserve"> </w:t>
      </w:r>
      <w:r>
        <w:rPr>
          <w:rFonts w:eastAsiaTheme="minorEastAsia"/>
        </w:rPr>
        <w:t>t</w:t>
      </w:r>
      <w:r w:rsidR="00E417AF">
        <w:rPr>
          <w:rFonts w:eastAsiaTheme="minorEastAsia"/>
        </w:rPr>
        <w:t>here may have been a leak after capping</w:t>
      </w:r>
      <w:r>
        <w:rPr>
          <w:rFonts w:eastAsiaTheme="minorEastAsia"/>
        </w:rPr>
        <w:t xml:space="preserve"> and before measuring </w:t>
      </w:r>
      <w:r w:rsidR="00406B1A">
        <w:rPr>
          <w:rFonts w:eastAsiaTheme="minorEastAsia"/>
        </w:rPr>
        <w:t>P</w:t>
      </w:r>
      <w:r w:rsidR="00406B1A" w:rsidRPr="00406B1A">
        <w:rPr>
          <w:rFonts w:eastAsiaTheme="minorEastAsia"/>
          <w:vertAlign w:val="subscript"/>
        </w:rPr>
        <w:t>3</w:t>
      </w:r>
      <w:r w:rsidR="00406B1A">
        <w:rPr>
          <w:rFonts w:eastAsiaTheme="minorEastAsia"/>
        </w:rPr>
        <w:t xml:space="preserve"> </w:t>
      </w:r>
      <w:r w:rsidR="003C5489">
        <w:rPr>
          <w:rFonts w:eastAsiaTheme="minorEastAsia"/>
        </w:rPr>
        <w:t>which</w:t>
      </w:r>
      <w:r w:rsidR="00E417AF">
        <w:rPr>
          <w:rFonts w:eastAsiaTheme="minorEastAsia"/>
        </w:rPr>
        <w:t xml:space="preserve"> </w:t>
      </w:r>
      <w:r w:rsidR="003C5489">
        <w:rPr>
          <w:rFonts w:eastAsiaTheme="minorEastAsia"/>
        </w:rPr>
        <w:t xml:space="preserve">could </w:t>
      </w:r>
      <w:r w:rsidR="00E417AF">
        <w:rPr>
          <w:rFonts w:eastAsiaTheme="minorEastAsia"/>
        </w:rPr>
        <w:t xml:space="preserve">have been sealed before </w:t>
      </w:r>
      <w:r>
        <w:rPr>
          <w:rFonts w:eastAsiaTheme="minorEastAsia"/>
        </w:rPr>
        <w:t>the measurement.</w:t>
      </w:r>
      <w:r w:rsidR="00E417AF">
        <w:rPr>
          <w:rFonts w:eastAsiaTheme="minorEastAsia"/>
        </w:rPr>
        <w:t xml:space="preserve"> It is also possible the uncapping and capping procedure took too long and the gas was allowed to escape during thermal expansion. Pressure differentials do not take long to equilibrate in the absence of a barrier, so both answers seem reasonable. </w:t>
      </w:r>
      <w:r w:rsidR="004878C4">
        <w:rPr>
          <w:rFonts w:eastAsiaTheme="minorEastAsia"/>
        </w:rPr>
        <w:t xml:space="preserve">If we find what </w:t>
      </w:r>
      <w:r w:rsidR="00915FE9">
        <w:rPr>
          <w:rFonts w:eastAsiaTheme="minorEastAsia"/>
        </w:rPr>
        <w:t>P</w:t>
      </w:r>
      <w:r w:rsidR="00915FE9" w:rsidRPr="00406B1A">
        <w:rPr>
          <w:rFonts w:eastAsiaTheme="minorEastAsia"/>
          <w:vertAlign w:val="subscript"/>
        </w:rPr>
        <w:t>3</w:t>
      </w:r>
      <w:r w:rsidR="00915FE9">
        <w:rPr>
          <w:rFonts w:eastAsiaTheme="minorEastAsia"/>
        </w:rPr>
        <w:t xml:space="preserve"> </w:t>
      </w:r>
      <w:r w:rsidR="004878C4">
        <w:rPr>
          <w:rFonts w:eastAsiaTheme="minorEastAsia"/>
        </w:rPr>
        <w:t>of the first trial should have been to achieve the same gamma value in the second, we rearrange the equation of gamma to get:</w:t>
      </w:r>
    </w:p>
    <w:p w14:paraId="71F5F21E" w14:textId="16A2AAA1" w:rsidR="00E417AF" w:rsidRDefault="00000000" w:rsidP="000B5AB5">
      <w:pPr>
        <w:spacing w:after="240" w:line="360" w:lineRule="auto"/>
        <w:jc w:val="center"/>
        <w:rPr>
          <w:rFonts w:eastAsiaTheme="minorEastAsia"/>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16.379</m:t>
              </m:r>
            </m:num>
            <m:den>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16.379</m:t>
                                      </m:r>
                                    </m:num>
                                    <m:den>
                                      <m:r>
                                        <w:rPr>
                                          <w:rFonts w:ascii="Cambria Math" w:hAnsi="Cambria Math" w:cs="Times New Roman"/>
                                        </w:rPr>
                                        <m:t>14.749</m:t>
                                      </m:r>
                                    </m:den>
                                  </m:f>
                                </m:e>
                              </m:d>
                            </m:e>
                          </m:func>
                        </m:num>
                        <m:den>
                          <m:r>
                            <w:rPr>
                              <w:rFonts w:ascii="Cambria Math" w:hAnsi="Cambria Math" w:cs="Times New Roman"/>
                            </w:rPr>
                            <m:t>1.5</m:t>
                          </m:r>
                        </m:den>
                      </m:f>
                    </m:e>
                  </m:d>
                </m:e>
              </m:func>
            </m:den>
          </m:f>
          <m:r>
            <w:rPr>
              <w:rFonts w:ascii="Cambria Math" w:hAnsi="Cambria Math" w:cs="Times New Roman"/>
            </w:rPr>
            <m:t>=15.27</m:t>
          </m:r>
        </m:oMath>
      </m:oMathPara>
    </w:p>
    <w:p w14:paraId="538EF2BC" w14:textId="5F99F62D" w:rsidR="00070463" w:rsidRDefault="004878C4" w:rsidP="000B5AB5">
      <w:pPr>
        <w:spacing w:after="240" w:line="360" w:lineRule="auto"/>
        <w:jc w:val="both"/>
        <w:rPr>
          <w:rFonts w:eastAsiaTheme="minorEastAsia"/>
        </w:rPr>
      </w:pPr>
      <w:r>
        <w:rPr>
          <w:rFonts w:eastAsiaTheme="minorEastAsia"/>
        </w:rPr>
        <w:t xml:space="preserve">Which means </w:t>
      </w:r>
      <w:r w:rsidR="00915FE9">
        <w:rPr>
          <w:rFonts w:eastAsiaTheme="minorEastAsia"/>
        </w:rPr>
        <w:t>P</w:t>
      </w:r>
      <w:r w:rsidR="00915FE9" w:rsidRPr="00406B1A">
        <w:rPr>
          <w:rFonts w:eastAsiaTheme="minorEastAsia"/>
          <w:vertAlign w:val="subscript"/>
        </w:rPr>
        <w:t>3</w:t>
      </w:r>
      <w:r w:rsidR="00915FE9">
        <w:rPr>
          <w:rFonts w:eastAsiaTheme="minorEastAsia"/>
          <w:vertAlign w:val="subscript"/>
        </w:rPr>
        <w:t>,gauge</w:t>
      </w:r>
      <w:r w:rsidR="00915FE9">
        <w:rPr>
          <w:rFonts w:eastAsiaTheme="minorEastAsia"/>
        </w:rPr>
        <w:t xml:space="preserve"> </w:t>
      </w:r>
      <w:r w:rsidR="002E738E">
        <w:rPr>
          <w:rFonts w:eastAsiaTheme="minorEastAsia"/>
        </w:rPr>
        <w:t xml:space="preserve">should be </w:t>
      </w:r>
      <w:r w:rsidR="00915FE9">
        <w:rPr>
          <w:rFonts w:eastAsiaTheme="minorEastAsia"/>
        </w:rPr>
        <w:t>0.52psi</w:t>
      </w:r>
      <w:r w:rsidR="002E738E">
        <w:rPr>
          <w:rFonts w:eastAsiaTheme="minorEastAsia"/>
        </w:rPr>
        <w:t xml:space="preserve"> </w:t>
      </w:r>
      <w:r>
        <w:rPr>
          <w:rFonts w:eastAsiaTheme="minorEastAsia"/>
        </w:rPr>
        <w:t xml:space="preserve">compared to the measured value of </w:t>
      </w:r>
      <w:r w:rsidR="00915FE9">
        <w:rPr>
          <w:rFonts w:eastAsiaTheme="minorEastAsia"/>
        </w:rPr>
        <w:t>0.41psi</w:t>
      </w:r>
      <w:r w:rsidR="002E738E">
        <w:rPr>
          <w:rFonts w:eastAsiaTheme="minorEastAsia"/>
        </w:rPr>
        <w:t xml:space="preserve"> to achieve a gamma of 1.5</w:t>
      </w:r>
      <w:r w:rsidR="00C80971">
        <w:rPr>
          <w:rFonts w:eastAsiaTheme="minorEastAsia"/>
        </w:rPr>
        <w:t xml:space="preserve">. </w:t>
      </w:r>
      <w:r w:rsidR="00F02BC2">
        <w:rPr>
          <w:rFonts w:eastAsiaTheme="minorEastAsia"/>
        </w:rPr>
        <w:t>Such a difference in pressure</w:t>
      </w:r>
      <w:r w:rsidR="002E738E">
        <w:rPr>
          <w:rFonts w:eastAsiaTheme="minorEastAsia"/>
        </w:rPr>
        <w:t xml:space="preserve"> results in a volume of gas </w:t>
      </w:r>
      <w:r w:rsidR="00F02BC2">
        <w:rPr>
          <w:rFonts w:eastAsiaTheme="minorEastAsia"/>
        </w:rPr>
        <w:t>small enough to have escaped through a small leak.</w:t>
      </w:r>
      <w:r w:rsidR="002E738E">
        <w:rPr>
          <w:rFonts w:eastAsiaTheme="minorEastAsia"/>
        </w:rPr>
        <w:t xml:space="preserve"> This same small volume of gas could have also escaped before the thermal expansion.</w:t>
      </w:r>
    </w:p>
    <w:p w14:paraId="30860240" w14:textId="394BC29A" w:rsidR="00963EFF" w:rsidRDefault="00963EFF" w:rsidP="000B5AB5">
      <w:pPr>
        <w:spacing w:after="240" w:line="360" w:lineRule="auto"/>
        <w:jc w:val="both"/>
        <w:rPr>
          <w:rFonts w:eastAsiaTheme="minorEastAsia"/>
        </w:rPr>
      </w:pPr>
      <w:r>
        <w:rPr>
          <w:rFonts w:eastAsiaTheme="minorEastAsia"/>
        </w:rPr>
        <w:tab/>
        <w:t xml:space="preserve">The temperature drop values are calculated using equation 5.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r>
          <w:rPr>
            <w:rFonts w:ascii="Cambria Math" w:hAnsi="Cambria Math" w:cs="Times New Roman"/>
          </w:rPr>
          <m:t>(</m:t>
        </m:r>
        <m:r>
          <w:rPr>
            <w:rFonts w:ascii="Cambria Math" w:hAnsi="Cambria Math" w:cs="Times New Roman"/>
          </w:rPr>
          <m:t>2</m:t>
        </m:r>
        <m:r>
          <w:rPr>
            <w:rFonts w:ascii="Cambria Math" w:hAnsi="Cambria Math" w:cs="Times New Roman"/>
          </w:rPr>
          <m:t>95.09</m:t>
        </m:r>
        <m:r>
          <w:rPr>
            <w:rFonts w:ascii="Cambria Math" w:hAnsi="Cambria Math" w:cs="Times New Roman"/>
          </w:rPr>
          <m:t>±0.01</m:t>
        </m:r>
        <m:r>
          <w:rPr>
            <w:rFonts w:ascii="Cambria Math" w:hAnsi="Cambria Math" w:cs="Times New Roman"/>
          </w:rPr>
          <m:t>)K</m:t>
        </m:r>
      </m:oMath>
      <w:r w:rsidR="002B42A5" w:rsidRPr="00E17A64">
        <w:rPr>
          <w:rFonts w:eastAsiaTheme="minorEastAsia" w:cs="Times New Roman"/>
        </w:rPr>
        <w:t xml:space="preserve"> for all trials</w:t>
      </w:r>
      <w:r w:rsidR="002B42A5">
        <w:rPr>
          <w:rFonts w:eastAsiaTheme="minorEastAsia" w:cs="Times New Roman"/>
        </w:rPr>
        <w:t>. Uncertainty arises from half the increment on the digital instrument used to measure temperature in the lab.</w:t>
      </w:r>
      <w:r w:rsidR="002B42A5">
        <w:rPr>
          <w:rFonts w:eastAsiaTheme="minorEastAsia"/>
        </w:rPr>
        <w:t xml:space="preserve"> </w:t>
      </w:r>
      <w:r>
        <w:rPr>
          <w:rFonts w:eastAsiaTheme="minorEastAsia"/>
        </w:rPr>
        <w:t>For example:</w:t>
      </w:r>
    </w:p>
    <w:p w14:paraId="71564419" w14:textId="0AF9AB3C" w:rsidR="00963EFF" w:rsidRDefault="00F010AC" w:rsidP="000B5AB5">
      <w:pPr>
        <w:spacing w:after="240"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hAnsi="Cambria Math" w:cs="Times New Roman"/>
            </w:rPr>
            <m:t>=</m:t>
          </m:r>
          <m:r>
            <w:rPr>
              <w:rFonts w:ascii="Cambria Math" w:hAnsi="Cambria Math" w:cs="Times New Roman"/>
            </w:rPr>
            <m:t>295.09K</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14.7</m:t>
              </m:r>
              <m:r>
                <w:rPr>
                  <w:rFonts w:ascii="Cambria Math" w:hAnsi="Cambria Math" w:cs="Times New Roman"/>
                  <w:u w:val="single"/>
                </w:rPr>
                <m:t>4</m:t>
              </m:r>
              <m:r>
                <w:rPr>
                  <w:rFonts w:ascii="Cambria Math" w:hAnsi="Cambria Math" w:cs="Times New Roman"/>
                </w:rPr>
                <m:t>9</m:t>
              </m:r>
              <m:r>
                <w:rPr>
                  <w:rFonts w:ascii="Cambria Math" w:hAnsi="Cambria Math" w:cs="Times New Roman"/>
                </w:rPr>
                <m:t>psi</m:t>
              </m:r>
            </m:num>
            <m:den>
              <m:r>
                <w:rPr>
                  <w:rFonts w:ascii="Cambria Math" w:eastAsiaTheme="minorEastAsia" w:hAnsi="Cambria Math"/>
                </w:rPr>
                <m:t>16.409psi</m:t>
              </m:r>
            </m:den>
          </m:f>
          <m:r>
            <w:rPr>
              <w:rFonts w:ascii="Cambria Math" w:eastAsiaTheme="minorEastAsia" w:hAnsi="Cambria Math"/>
            </w:rPr>
            <m:t>=265.24K</m:t>
          </m:r>
        </m:oMath>
      </m:oMathPara>
    </w:p>
    <w:p w14:paraId="7F79EA83" w14:textId="40CF5871" w:rsidR="000B5AB5" w:rsidRDefault="00BC59DC" w:rsidP="004878C4">
      <w:pPr>
        <w:spacing w:line="360" w:lineRule="auto"/>
        <w:jc w:val="both"/>
      </w:pPr>
      <w:r>
        <w:t>Uncertainties are calculated using worst case scenario:</w:t>
      </w:r>
    </w:p>
    <w:p w14:paraId="0200B03E" w14:textId="5BCAD4ED" w:rsidR="00BC59DC" w:rsidRPr="00BC59DC" w:rsidRDefault="00BC59DC" w:rsidP="00BC59DC">
      <w:pPr>
        <w:spacing w:after="240"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hAnsi="Cambria Math" w:cs="Times New Roman"/>
            </w:rPr>
            <m:t>=295.</m:t>
          </m:r>
          <m:r>
            <w:rPr>
              <w:rFonts w:ascii="Cambria Math" w:hAnsi="Cambria Math" w:cs="Times New Roman"/>
            </w:rPr>
            <m:t>10</m:t>
          </m:r>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14.7</m:t>
              </m:r>
              <m:r>
                <w:rPr>
                  <w:rFonts w:ascii="Cambria Math" w:hAnsi="Cambria Math" w:cs="Times New Roman"/>
                  <w:u w:val="single"/>
                </w:rPr>
                <m:t>54</m:t>
              </m:r>
              <m:r>
                <w:rPr>
                  <w:rFonts w:ascii="Cambria Math" w:hAnsi="Cambria Math" w:cs="Times New Roman"/>
                </w:rPr>
                <m:t>psi</m:t>
              </m:r>
            </m:num>
            <m:den>
              <m:r>
                <w:rPr>
                  <w:rFonts w:ascii="Cambria Math" w:eastAsiaTheme="minorEastAsia" w:hAnsi="Cambria Math"/>
                </w:rPr>
                <m:t>16.40</m:t>
              </m:r>
              <m:r>
                <w:rPr>
                  <w:rFonts w:ascii="Cambria Math" w:eastAsiaTheme="minorEastAsia" w:hAnsi="Cambria Math"/>
                </w:rPr>
                <m:t>3</m:t>
              </m:r>
              <m:r>
                <w:rPr>
                  <w:rFonts w:ascii="Cambria Math" w:eastAsiaTheme="minorEastAsia" w:hAnsi="Cambria Math"/>
                </w:rPr>
                <m:t>psi</m:t>
              </m:r>
            </m:den>
          </m:f>
          <m:r>
            <w:rPr>
              <w:rFonts w:ascii="Cambria Math" w:eastAsiaTheme="minorEastAsia" w:hAnsi="Cambria Math"/>
            </w:rPr>
            <m:t>=265.</m:t>
          </m:r>
          <m:r>
            <w:rPr>
              <w:rFonts w:ascii="Cambria Math" w:eastAsiaTheme="minorEastAsia" w:hAnsi="Cambria Math"/>
            </w:rPr>
            <m:t>47</m:t>
          </m:r>
          <m:r>
            <w:rPr>
              <w:rFonts w:ascii="Cambria Math" w:eastAsiaTheme="minorEastAsia" w:hAnsi="Cambria Math"/>
            </w:rPr>
            <m:t>K</m:t>
          </m:r>
        </m:oMath>
      </m:oMathPara>
    </w:p>
    <w:p w14:paraId="262707EE" w14:textId="42E53D63" w:rsidR="00BC59DC" w:rsidRDefault="00BC59DC" w:rsidP="00BC59DC">
      <w:pPr>
        <w:spacing w:after="240" w:line="360" w:lineRule="auto"/>
        <w:jc w:val="both"/>
        <w:rPr>
          <w:rFonts w:eastAsiaTheme="minorEastAsia"/>
        </w:rPr>
      </w:pPr>
      <m:oMathPara>
        <m:oMath>
          <m:r>
            <w:rPr>
              <w:rFonts w:ascii="Cambria Math" w:eastAsiaTheme="minorEastAsia" w:hAnsi="Cambria Math"/>
            </w:rPr>
            <m:t>265.</m:t>
          </m:r>
          <m:r>
            <w:rPr>
              <w:rFonts w:ascii="Cambria Math" w:eastAsiaTheme="minorEastAsia" w:hAnsi="Cambria Math"/>
            </w:rPr>
            <m:t>47</m:t>
          </m:r>
          <m:r>
            <w:rPr>
              <w:rFonts w:ascii="Cambria Math" w:eastAsiaTheme="minorEastAsia" w:hAnsi="Cambria Math"/>
            </w:rPr>
            <m:t>K</m:t>
          </m:r>
          <m:r>
            <w:rPr>
              <w:rFonts w:ascii="Cambria Math" w:eastAsiaTheme="minorEastAsia" w:hAnsi="Cambria Math"/>
            </w:rPr>
            <m:t>-265.24K=0.23K</m:t>
          </m:r>
        </m:oMath>
      </m:oMathPara>
    </w:p>
    <w:p w14:paraId="0F5760BE" w14:textId="4FFF0EEA" w:rsidR="00BC59DC" w:rsidRDefault="007E1BAB" w:rsidP="00BC59DC">
      <w:pPr>
        <w:spacing w:after="240" w:line="360" w:lineRule="auto"/>
        <w:jc w:val="both"/>
        <w:rPr>
          <w:rFonts w:eastAsiaTheme="minorEastAsia"/>
        </w:rPr>
      </w:pPr>
      <w:r>
        <w:rPr>
          <w:rFonts w:eastAsiaTheme="minorEastAsia"/>
        </w:rPr>
        <w:t>Since the temperature drop for each is similar this shows the heat energy transferred to the molecules will be affected only by heat capacity.</w:t>
      </w:r>
    </w:p>
    <w:p w14:paraId="73A33471" w14:textId="77777777" w:rsidR="00BC59DC" w:rsidRPr="00043186" w:rsidRDefault="00BC59DC" w:rsidP="004878C4">
      <w:pPr>
        <w:spacing w:line="360" w:lineRule="auto"/>
        <w:jc w:val="both"/>
      </w:pPr>
    </w:p>
    <w:p w14:paraId="12810F60" w14:textId="05E38CB9" w:rsidR="00F1658D" w:rsidRPr="00C900B3" w:rsidRDefault="00DE66A4" w:rsidP="00C900B3">
      <w:pPr>
        <w:pStyle w:val="Heading1"/>
      </w:pPr>
      <w:r w:rsidRPr="00C900B3">
        <w:t>Conclusion:</w:t>
      </w:r>
    </w:p>
    <w:p w14:paraId="7C379A35" w14:textId="3C58FD2A" w:rsidR="00F1658D" w:rsidRDefault="003C2C68" w:rsidP="00852A4F">
      <w:pPr>
        <w:spacing w:line="360" w:lineRule="auto"/>
        <w:jc w:val="both"/>
        <w:rPr>
          <w:rFonts w:eastAsiaTheme="minorEastAsia" w:cs="Times New Roman"/>
        </w:rPr>
      </w:pPr>
      <w:r>
        <w:rPr>
          <w:rFonts w:cs="Times New Roman"/>
        </w:rPr>
        <w:tab/>
        <w:t xml:space="preserve">In this experiment, the heat capacity ratio is calculated from the pressures before adiabatic expansion and after thermal expansion of nitrogen and argon. </w:t>
      </w:r>
      <w:r w:rsidR="001D57B7">
        <w:rPr>
          <w:rFonts w:cs="Times New Roman"/>
        </w:rPr>
        <w:t xml:space="preserve">Our ratios were calculated to be </w:t>
      </w:r>
      <m:oMath>
        <m:sSub>
          <m:sSubPr>
            <m:ctrlPr>
              <w:rPr>
                <w:rFonts w:ascii="Cambria Math" w:hAnsi="Cambria Math" w:cs="Times New Roman"/>
                <w:i/>
              </w:rPr>
            </m:ctrlPr>
          </m:sSubPr>
          <m:e>
            <m: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b>
        </m:sSub>
        <m:r>
          <w:rPr>
            <w:rFonts w:ascii="Cambria Math" w:hAnsi="Cambria Math" w:cs="Times New Roman"/>
          </w:rPr>
          <m:t>=</m:t>
        </m:r>
        <m:r>
          <w:rPr>
            <w:rFonts w:ascii="Cambria Math" w:eastAsiaTheme="minorEastAsia" w:hAnsi="Cambria Math" w:cs="Times New Roman"/>
          </w:rPr>
          <m:t>1.38±0.11</m:t>
        </m:r>
      </m:oMath>
      <w:r w:rsidR="001D57B7">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Ar</m:t>
            </m:r>
          </m:sub>
        </m:sSub>
        <m:r>
          <w:rPr>
            <w:rFonts w:ascii="Cambria Math" w:eastAsiaTheme="minorEastAsia" w:hAnsi="Cambria Math" w:cs="Times New Roman"/>
          </w:rPr>
          <m:t>=1.49±0.95</m:t>
        </m:r>
      </m:oMath>
      <w:r w:rsidR="001D57B7">
        <w:rPr>
          <w:rFonts w:eastAsiaTheme="minorEastAsia" w:cs="Times New Roman"/>
        </w:rPr>
        <w:t xml:space="preserve"> with 95% confidence. </w:t>
      </w:r>
      <w:r w:rsidR="00D92CA6">
        <w:rPr>
          <w:rFonts w:eastAsiaTheme="minorEastAsia" w:cs="Times New Roman"/>
        </w:rPr>
        <w:t xml:space="preserve">These values agree with the literature values, and even the theoretical </w:t>
      </w:r>
      <m:oMath>
        <m:sSub>
          <m:sSubPr>
            <m:ctrlPr>
              <w:rPr>
                <w:rFonts w:ascii="Cambria Math" w:hAnsi="Cambria Math" w:cs="Times New Roman"/>
                <w:i/>
              </w:rPr>
            </m:ctrlPr>
          </m:sSubPr>
          <m:e>
            <m: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b>
        </m:sSub>
        <m:r>
          <w:rPr>
            <w:rFonts w:ascii="Cambria Math" w:hAnsi="Cambria Math" w:cs="Times New Roman"/>
          </w:rPr>
          <m:t>=</m:t>
        </m:r>
        <m:r>
          <w:rPr>
            <w:rFonts w:ascii="Cambria Math" w:eastAsiaTheme="minorEastAsia" w:hAnsi="Cambria Math" w:cs="Times New Roman"/>
          </w:rPr>
          <m:t>1.40</m:t>
        </m:r>
      </m:oMath>
      <w:r w:rsidR="00D92CA6">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Ar</m:t>
            </m:r>
          </m:sub>
        </m:sSub>
        <m:r>
          <w:rPr>
            <w:rFonts w:ascii="Cambria Math" w:eastAsiaTheme="minorEastAsia" w:hAnsi="Cambria Math" w:cs="Times New Roman"/>
          </w:rPr>
          <m:t>=1.67</m:t>
        </m:r>
      </m:oMath>
      <w:r w:rsidR="005414E4">
        <w:rPr>
          <w:rFonts w:eastAsiaTheme="minorEastAsia" w:cs="Times New Roman"/>
        </w:rPr>
        <w:t xml:space="preserve"> from equation 1</w:t>
      </w:r>
      <w:r w:rsidR="00D92CA6">
        <w:rPr>
          <w:rFonts w:eastAsiaTheme="minorEastAsia" w:cs="Times New Roman"/>
        </w:rPr>
        <w:t>, although our values are not</w:t>
      </w:r>
      <w:r w:rsidR="002E738E">
        <w:rPr>
          <w:rFonts w:eastAsiaTheme="minorEastAsia" w:cs="Times New Roman"/>
        </w:rPr>
        <w:t xml:space="preserve"> very</w:t>
      </w:r>
      <w:r w:rsidR="00D92CA6">
        <w:rPr>
          <w:rFonts w:eastAsiaTheme="minorEastAsia" w:cs="Times New Roman"/>
        </w:rPr>
        <w:t xml:space="preserve"> precise.</w:t>
      </w:r>
      <w:r w:rsidR="002E738E">
        <w:rPr>
          <w:rFonts w:eastAsiaTheme="minorEastAsia" w:cs="Times New Roman"/>
        </w:rPr>
        <w:t xml:space="preserve"> This is due to both a</w:t>
      </w:r>
      <w:r w:rsidR="004772C8">
        <w:rPr>
          <w:rFonts w:eastAsiaTheme="minorEastAsia" w:cs="Times New Roman"/>
        </w:rPr>
        <w:t xml:space="preserve"> </w:t>
      </w:r>
      <w:r w:rsidR="002E738E">
        <w:rPr>
          <w:rFonts w:eastAsiaTheme="minorEastAsia" w:cs="Times New Roman"/>
        </w:rPr>
        <w:t xml:space="preserve">small sample size </w:t>
      </w:r>
      <m:oMath>
        <m:r>
          <w:rPr>
            <w:rFonts w:ascii="Cambria Math" w:eastAsiaTheme="minorEastAsia" w:hAnsi="Cambria Math" w:cs="Times New Roman"/>
          </w:rPr>
          <m:t>(N=2)</m:t>
        </m:r>
      </m:oMath>
      <w:r w:rsidR="002E738E">
        <w:rPr>
          <w:rFonts w:eastAsiaTheme="minorEastAsia" w:cs="Times New Roman"/>
        </w:rPr>
        <w:t xml:space="preserve"> resulting in a large variance</w:t>
      </w:r>
      <w:r w:rsidR="004772C8">
        <w:rPr>
          <w:rFonts w:eastAsiaTheme="minorEastAsia" w:cs="Times New Roman"/>
        </w:rPr>
        <w:t xml:space="preserve"> </w:t>
      </w:r>
      <w:r w:rsidR="002E738E">
        <w:rPr>
          <w:rFonts w:eastAsiaTheme="minorEastAsia" w:cs="Times New Roman"/>
        </w:rPr>
        <w:t xml:space="preserve">and discrepancies in the argon trials. We concluded that </w:t>
      </w:r>
      <w:r w:rsidR="00435F96">
        <w:rPr>
          <w:rFonts w:eastAsiaTheme="minorEastAsia"/>
        </w:rPr>
        <w:t>P</w:t>
      </w:r>
      <w:r w:rsidR="00435F96" w:rsidRPr="00406B1A">
        <w:rPr>
          <w:rFonts w:eastAsiaTheme="minorEastAsia"/>
          <w:vertAlign w:val="subscript"/>
        </w:rPr>
        <w:t>3</w:t>
      </w:r>
      <w:r w:rsidR="00435F96">
        <w:rPr>
          <w:rFonts w:eastAsiaTheme="minorEastAsia"/>
          <w:vertAlign w:val="subscript"/>
        </w:rPr>
        <w:t>,gauge</w:t>
      </w:r>
      <w:r w:rsidR="00435F96" w:rsidRPr="00435F96">
        <w:rPr>
          <w:rFonts w:eastAsiaTheme="minorEastAsia" w:cs="Times New Roman"/>
        </w:rPr>
        <w:t xml:space="preserve"> </w:t>
      </w:r>
      <w:r w:rsidR="002E738E">
        <w:rPr>
          <w:rFonts w:eastAsiaTheme="minorEastAsia" w:cs="Times New Roman"/>
        </w:rPr>
        <w:t xml:space="preserve">for argon trial 1 </w:t>
      </w:r>
      <w:r w:rsidR="00852A4F">
        <w:rPr>
          <w:rFonts w:eastAsiaTheme="minorEastAsia" w:cs="Times New Roman"/>
        </w:rPr>
        <w:t xml:space="preserve">should be 27% larger to produce the same gamma value in argon trial 2. </w:t>
      </w:r>
      <w:r w:rsidR="004772C8">
        <w:rPr>
          <w:rFonts w:eastAsiaTheme="minorEastAsia" w:cs="Times New Roman"/>
        </w:rPr>
        <w:t>This lower pressure</w:t>
      </w:r>
      <w:r w:rsidR="00B4499A">
        <w:rPr>
          <w:rFonts w:eastAsiaTheme="minorEastAsia" w:cs="Times New Roman"/>
        </w:rPr>
        <w:t xml:space="preserve"> was likely</w:t>
      </w:r>
      <w:r w:rsidR="004772C8">
        <w:rPr>
          <w:rFonts w:eastAsiaTheme="minorEastAsia" w:cs="Times New Roman"/>
        </w:rPr>
        <w:t xml:space="preserve"> caused by </w:t>
      </w:r>
      <w:r w:rsidR="00B4499A">
        <w:rPr>
          <w:rFonts w:eastAsiaTheme="minorEastAsia" w:cs="Times New Roman"/>
        </w:rPr>
        <w:t xml:space="preserve">gas escaping </w:t>
      </w:r>
      <w:r w:rsidR="004772C8">
        <w:rPr>
          <w:rFonts w:eastAsiaTheme="minorEastAsia" w:cs="Times New Roman"/>
        </w:rPr>
        <w:t>before the measurement of</w:t>
      </w:r>
      <w:r w:rsidR="00435F96">
        <w:rPr>
          <w:rFonts w:eastAsiaTheme="minorEastAsia" w:cs="Times New Roman"/>
        </w:rPr>
        <w:t xml:space="preserve"> </w:t>
      </w:r>
      <w:r w:rsidR="00435F96">
        <w:rPr>
          <w:rFonts w:eastAsiaTheme="minorEastAsia"/>
        </w:rPr>
        <w:t>P</w:t>
      </w:r>
      <w:r w:rsidR="00435F96" w:rsidRPr="00406B1A">
        <w:rPr>
          <w:rFonts w:eastAsiaTheme="minorEastAsia"/>
          <w:vertAlign w:val="subscript"/>
        </w:rPr>
        <w:t>3</w:t>
      </w:r>
      <w:r w:rsidR="00B4499A">
        <w:rPr>
          <w:rFonts w:eastAsiaTheme="minorEastAsia" w:cs="Times New Roman"/>
        </w:rPr>
        <w:t>, either before the capping process during thermal expansion, or through a leak after capping.</w:t>
      </w:r>
      <w:r w:rsidR="000115F4">
        <w:rPr>
          <w:rFonts w:eastAsiaTheme="minorEastAsia" w:cs="Times New Roman"/>
        </w:rPr>
        <w:t xml:space="preserve"> In the future, we should include more trials and ensure consistent capping and uncapping</w:t>
      </w:r>
      <w:r w:rsidR="00852A4F">
        <w:rPr>
          <w:rFonts w:eastAsiaTheme="minorEastAsia" w:cs="Times New Roman"/>
        </w:rPr>
        <w:t xml:space="preserve"> to get better data</w:t>
      </w:r>
      <w:r w:rsidR="000115F4">
        <w:rPr>
          <w:rFonts w:eastAsiaTheme="minorEastAsia" w:cs="Times New Roman"/>
        </w:rPr>
        <w:t>.</w:t>
      </w:r>
    </w:p>
    <w:p w14:paraId="19B1BBEA" w14:textId="50280FCA" w:rsidR="00B4499A" w:rsidRDefault="00B4499A" w:rsidP="00754E16">
      <w:pPr>
        <w:spacing w:line="360" w:lineRule="auto"/>
        <w:jc w:val="both"/>
        <w:rPr>
          <w:rFonts w:eastAsiaTheme="minorEastAsia" w:cs="Times New Roman"/>
        </w:rPr>
      </w:pPr>
      <w:r>
        <w:rPr>
          <w:rFonts w:eastAsiaTheme="minorEastAsia" w:cs="Times New Roman"/>
        </w:rPr>
        <w:tab/>
        <w:t xml:space="preserve">Regardless of the error, the trend in heat capacity ratios for both gasses is clear. </w:t>
      </w:r>
      <w:r w:rsidR="005414E4">
        <w:rPr>
          <w:rFonts w:eastAsiaTheme="minorEastAsia" w:cs="Times New Roman"/>
        </w:rPr>
        <w:t xml:space="preserve">Nitrogen has a lower heat capacity ratio than argon which </w:t>
      </w:r>
      <w:r w:rsidR="00852A4F">
        <w:rPr>
          <w:rFonts w:eastAsiaTheme="minorEastAsia" w:cs="Times New Roman"/>
        </w:rPr>
        <w:t xml:space="preserve">corresponds to </w:t>
      </w:r>
      <w:r w:rsidR="003176AD">
        <w:rPr>
          <w:rFonts w:eastAsiaTheme="minorEastAsia" w:cs="Times New Roman"/>
        </w:rPr>
        <w:t xml:space="preserve">argon having the lower heat capacity from the relation </w:t>
      </w:r>
      <w:r w:rsidR="00754E16">
        <w:rPr>
          <w:rFonts w:eastAsiaTheme="minorEastAsia" w:cs="Times New Roman"/>
        </w:rPr>
        <w:t xml:space="preserve">described in </w:t>
      </w:r>
      <w:r w:rsidR="00754E16">
        <w:rPr>
          <w:rFonts w:eastAsiaTheme="minorEastAsia" w:cs="Times New Roman"/>
        </w:rPr>
        <w:lastRenderedPageBreak/>
        <w:t>equation 1. This is consistent with the molecular degrees of freedom explanation to heat capacity of monoatomic and diatomic molecules.</w:t>
      </w:r>
    </w:p>
    <w:p w14:paraId="0A952AF1" w14:textId="77777777" w:rsidR="000B5AB5" w:rsidRPr="005414E4" w:rsidRDefault="000B5AB5" w:rsidP="00043186">
      <w:pPr>
        <w:spacing w:line="360" w:lineRule="auto"/>
        <w:jc w:val="both"/>
        <w:rPr>
          <w:rFonts w:cs="Times New Roman"/>
        </w:rPr>
      </w:pPr>
    </w:p>
    <w:p w14:paraId="7C23D644" w14:textId="4C7A77F5" w:rsidR="002E4EDD" w:rsidRPr="00C900B3" w:rsidRDefault="00DE66A4" w:rsidP="00043186">
      <w:pPr>
        <w:tabs>
          <w:tab w:val="left" w:pos="4090"/>
        </w:tabs>
        <w:spacing w:line="360" w:lineRule="auto"/>
        <w:jc w:val="both"/>
        <w:rPr>
          <w:rFonts w:cs="Times New Roman"/>
          <w:sz w:val="32"/>
          <w:szCs w:val="32"/>
        </w:rPr>
      </w:pPr>
      <w:r w:rsidRPr="00C900B3">
        <w:rPr>
          <w:rStyle w:val="Heading1Char"/>
        </w:rPr>
        <w:t>Safety:</w:t>
      </w:r>
      <w:r w:rsidRPr="00C900B3">
        <w:rPr>
          <w:rFonts w:cs="Times New Roman"/>
          <w:sz w:val="32"/>
          <w:szCs w:val="32"/>
        </w:rPr>
        <w:t xml:space="preserve"> </w:t>
      </w:r>
    </w:p>
    <w:p w14:paraId="56AF1A13" w14:textId="57E78C6F" w:rsidR="007A5321" w:rsidRPr="00D15734" w:rsidRDefault="00BF0EC2" w:rsidP="00D9653B">
      <w:pPr>
        <w:tabs>
          <w:tab w:val="left" w:pos="720"/>
        </w:tabs>
        <w:spacing w:line="360" w:lineRule="auto"/>
        <w:jc w:val="both"/>
        <w:rPr>
          <w:rFonts w:cs="Times New Roman"/>
        </w:rPr>
      </w:pPr>
      <w:r w:rsidRPr="00043186">
        <w:rPr>
          <w:rFonts w:cs="Times New Roman"/>
          <w:bdr w:val="single" w:sz="4" w:space="0" w:color="FFFFFF" w:themeColor="background1"/>
        </w:rPr>
        <w:tab/>
      </w:r>
      <w:r w:rsidR="007A5321" w:rsidRPr="00043186">
        <w:rPr>
          <w:rFonts w:cs="Times New Roman"/>
        </w:rPr>
        <w:t xml:space="preserve">Despite being quite </w:t>
      </w:r>
      <w:r w:rsidR="00D107C3" w:rsidRPr="00043186">
        <w:rPr>
          <w:rFonts w:cs="Times New Roman"/>
        </w:rPr>
        <w:t>abundant</w:t>
      </w:r>
      <w:r w:rsidR="00690A81" w:rsidRPr="00043186">
        <w:rPr>
          <w:rFonts w:cs="Times New Roman"/>
        </w:rPr>
        <w:t xml:space="preserve"> in our atmosphere</w:t>
      </w:r>
      <w:r w:rsidR="007A5321" w:rsidRPr="00043186">
        <w:rPr>
          <w:rFonts w:cs="Times New Roman"/>
        </w:rPr>
        <w:t>,</w:t>
      </w:r>
      <w:r w:rsidR="00D9653B">
        <w:rPr>
          <w:rFonts w:cs="Times New Roman"/>
        </w:rPr>
        <w:t xml:space="preserve"> argon and nitrogen pose risks within a lab environment and</w:t>
      </w:r>
      <w:r w:rsidR="007A5321" w:rsidRPr="00043186">
        <w:rPr>
          <w:rFonts w:cs="Times New Roman"/>
        </w:rPr>
        <w:t xml:space="preserve"> safety measures must</w:t>
      </w:r>
      <w:r w:rsidR="00D9653B">
        <w:rPr>
          <w:rFonts w:cs="Times New Roman"/>
        </w:rPr>
        <w:t xml:space="preserve"> still</w:t>
      </w:r>
      <w:r w:rsidR="007A5321" w:rsidRPr="00043186">
        <w:rPr>
          <w:rFonts w:cs="Times New Roman"/>
        </w:rPr>
        <w:t xml:space="preserve"> be taken. W</w:t>
      </w:r>
      <w:r w:rsidR="00690A81" w:rsidRPr="00043186">
        <w:rPr>
          <w:rFonts w:cs="Times New Roman"/>
        </w:rPr>
        <w:t>hen working around high pressure gas cylinders it is always</w:t>
      </w:r>
      <w:r w:rsidR="00690A81" w:rsidRPr="00735940">
        <w:rPr>
          <w:rFonts w:cs="Times New Roman"/>
        </w:rPr>
        <w:t xml:space="preserve"> necessary to ensure they will not tip over. When using regulators, close the main valve when not in use and always open it slowly to begin.</w:t>
      </w:r>
      <w:r w:rsidR="00D9653B">
        <w:rPr>
          <w:rFonts w:cs="Times New Roman"/>
        </w:rPr>
        <w:t xml:space="preserve"> Experiments should be done in a well</w:t>
      </w:r>
      <w:r w:rsidR="00D15734">
        <w:rPr>
          <w:rFonts w:cs="Times New Roman"/>
        </w:rPr>
        <w:t>-</w:t>
      </w:r>
      <w:r w:rsidR="00D9653B">
        <w:rPr>
          <w:rFonts w:cs="Times New Roman"/>
        </w:rPr>
        <w:t>ventilated area as not to displace a large amount of oxygen in the roo</w:t>
      </w:r>
      <w:r w:rsidR="00014F6B">
        <w:rPr>
          <w:rFonts w:cs="Times New Roman"/>
        </w:rPr>
        <w:t>m</w:t>
      </w:r>
      <w:r w:rsidR="00D9653B">
        <w:rPr>
          <w:rFonts w:cs="Times New Roman"/>
        </w:rPr>
        <w:t xml:space="preserve">. </w:t>
      </w:r>
      <w:r w:rsidR="00D9653B" w:rsidRPr="00D9653B">
        <w:rPr>
          <w:rFonts w:cs="Times New Roman"/>
          <w:vertAlign w:val="superscript"/>
        </w:rPr>
        <w:t xml:space="preserve">[3,4] </w:t>
      </w:r>
      <w:r w:rsidR="007A5321" w:rsidRPr="00735940">
        <w:rPr>
          <w:rFonts w:cs="Times New Roman"/>
        </w:rPr>
        <w:t xml:space="preserve">Argon has a </w:t>
      </w:r>
      <w:r w:rsidR="00F6488C">
        <w:rPr>
          <w:rFonts w:cs="Times New Roman"/>
        </w:rPr>
        <w:t xml:space="preserve">specific </w:t>
      </w:r>
      <w:r w:rsidR="007A5321" w:rsidRPr="00735940">
        <w:rPr>
          <w:rFonts w:cs="Times New Roman"/>
        </w:rPr>
        <w:t>vapor density of 1.66: greater than that of air</w:t>
      </w:r>
      <w:r w:rsidR="00F6488C">
        <w:rPr>
          <w:rFonts w:cs="Times New Roman"/>
        </w:rPr>
        <w:t xml:space="preserve">, increasing </w:t>
      </w:r>
      <w:r w:rsidR="007A5321" w:rsidRPr="00735940">
        <w:rPr>
          <w:rFonts w:cs="Times New Roman"/>
        </w:rPr>
        <w:t xml:space="preserve">risk of </w:t>
      </w:r>
      <w:bookmarkStart w:id="0" w:name="_Hlk115201187"/>
      <w:r w:rsidR="007A5321" w:rsidRPr="00735940">
        <w:rPr>
          <w:rFonts w:cs="Times New Roman"/>
        </w:rPr>
        <w:t>asphyxiation</w:t>
      </w:r>
      <w:bookmarkEnd w:id="0"/>
      <w:r w:rsidR="007A5321" w:rsidRPr="00735940">
        <w:rPr>
          <w:rFonts w:cs="Times New Roman"/>
        </w:rPr>
        <w:t>.</w:t>
      </w:r>
      <w:r w:rsidR="00D9653B">
        <w:rPr>
          <w:rFonts w:cs="Times New Roman"/>
        </w:rPr>
        <w:t xml:space="preserve"> </w:t>
      </w:r>
      <w:r w:rsidR="00D9653B" w:rsidRPr="00D9653B">
        <w:rPr>
          <w:rFonts w:cs="Times New Roman"/>
          <w:vertAlign w:val="superscript"/>
        </w:rPr>
        <w:t>[4]</w:t>
      </w:r>
      <w:r w:rsidR="00D15734">
        <w:rPr>
          <w:rFonts w:cs="Times New Roman"/>
          <w:vertAlign w:val="superscript"/>
        </w:rPr>
        <w:t xml:space="preserve"> </w:t>
      </w:r>
      <w:r w:rsidR="00D15734">
        <w:rPr>
          <w:rFonts w:cs="Times New Roman"/>
        </w:rPr>
        <w:t>When left in the lungs, argon may settle to the bottom</w:t>
      </w:r>
      <w:r w:rsidR="001C460D">
        <w:rPr>
          <w:rFonts w:cs="Times New Roman"/>
        </w:rPr>
        <w:t>, replacing oxygen</w:t>
      </w:r>
      <w:r w:rsidR="00D15734">
        <w:rPr>
          <w:rFonts w:cs="Times New Roman"/>
        </w:rPr>
        <w:t>.</w:t>
      </w:r>
      <w:r w:rsidR="00F6488C">
        <w:rPr>
          <w:rFonts w:cs="Times New Roman"/>
        </w:rPr>
        <w:t xml:space="preserve"> </w:t>
      </w:r>
    </w:p>
    <w:p w14:paraId="6E43BD84" w14:textId="77777777" w:rsidR="00F1658D" w:rsidRPr="00735940" w:rsidRDefault="00F1658D" w:rsidP="0046774E">
      <w:pPr>
        <w:spacing w:line="360" w:lineRule="auto"/>
        <w:rPr>
          <w:rFonts w:cs="Times New Roman"/>
        </w:rPr>
      </w:pPr>
    </w:p>
    <w:p w14:paraId="0C705506" w14:textId="04F44017" w:rsidR="00D832C1" w:rsidRDefault="00D832C1">
      <w:pPr>
        <w:rPr>
          <w:rFonts w:eastAsiaTheme="majorEastAsia" w:cstheme="majorBidi"/>
          <w:color w:val="2F5496" w:themeColor="accent1" w:themeShade="BF"/>
          <w:sz w:val="32"/>
          <w:szCs w:val="32"/>
        </w:rPr>
      </w:pPr>
    </w:p>
    <w:p w14:paraId="37CA5C2D" w14:textId="76C55C3C" w:rsidR="00F1658D" w:rsidRDefault="00DE66A4" w:rsidP="00C900B3">
      <w:pPr>
        <w:pStyle w:val="Heading1"/>
      </w:pPr>
      <w:r w:rsidRPr="00735940">
        <w:t>References:</w:t>
      </w:r>
    </w:p>
    <w:p w14:paraId="770DB43B" w14:textId="197761FB" w:rsidR="00EC0040" w:rsidRDefault="00EC0040" w:rsidP="00DB747D">
      <w:pPr>
        <w:pStyle w:val="ListParagraph"/>
        <w:numPr>
          <w:ilvl w:val="0"/>
          <w:numId w:val="1"/>
        </w:numPr>
        <w:spacing w:line="360" w:lineRule="auto"/>
      </w:pPr>
      <w:r w:rsidRPr="00DB747D">
        <w:rPr>
          <w:i/>
          <w:iCs/>
        </w:rPr>
        <w:t>Site-Based Observations - v1</w:t>
      </w:r>
      <w:r>
        <w:t xml:space="preserve">; The Weather Company: Atlanta, GA, 2022. </w:t>
      </w:r>
      <w:hyperlink r:id="rId10" w:history="1">
        <w:r w:rsidR="00DB747D" w:rsidRPr="00BB4474">
          <w:rPr>
            <w:rStyle w:val="Hyperlink"/>
          </w:rPr>
          <w:t>https://ibm.co/v1cSBO</w:t>
        </w:r>
      </w:hyperlink>
      <w:r>
        <w:t xml:space="preserve"> (accessed August 31, 2022) </w:t>
      </w:r>
    </w:p>
    <w:p w14:paraId="13F68C17" w14:textId="3203365A" w:rsidR="0075364E" w:rsidRPr="0075364E" w:rsidRDefault="00222AB4" w:rsidP="00DB747D">
      <w:pPr>
        <w:pStyle w:val="ListParagraph"/>
        <w:numPr>
          <w:ilvl w:val="0"/>
          <w:numId w:val="1"/>
        </w:numPr>
        <w:spacing w:line="360" w:lineRule="auto"/>
        <w:rPr>
          <w:i/>
          <w:iCs/>
        </w:rPr>
      </w:pPr>
      <w:r>
        <w:t xml:space="preserve">Branca M.; Soletta I., </w:t>
      </w:r>
      <w:r w:rsidRPr="00222AB4">
        <w:t>“</w:t>
      </w:r>
      <w:r w:rsidR="0075364E" w:rsidRPr="00222AB4">
        <w:t>C</w:t>
      </w:r>
      <w:r w:rsidR="0075364E" w:rsidRPr="00222AB4">
        <w:rPr>
          <w:vertAlign w:val="subscript"/>
        </w:rPr>
        <w:t>P</w:t>
      </w:r>
      <w:r w:rsidR="0075364E" w:rsidRPr="00222AB4">
        <w:t xml:space="preserve"> / C</w:t>
      </w:r>
      <w:r w:rsidR="0075364E" w:rsidRPr="00222AB4">
        <w:rPr>
          <w:vertAlign w:val="subscript"/>
        </w:rPr>
        <w:t>V</w:t>
      </w:r>
      <w:r w:rsidR="0075364E" w:rsidRPr="00222AB4">
        <w:t xml:space="preserve"> Ratios Measured by the Sound Velocity Method W Using Calculator-Based Laboratory Technology</w:t>
      </w:r>
      <w:r w:rsidRPr="00222AB4">
        <w:t>”,</w:t>
      </w:r>
      <w:r>
        <w:t xml:space="preserve"> </w:t>
      </w:r>
      <w:r w:rsidRPr="00222AB4">
        <w:rPr>
          <w:i/>
          <w:iCs/>
        </w:rPr>
        <w:t>J. Chem. Educ.</w:t>
      </w:r>
      <w:r w:rsidRPr="00222AB4">
        <w:t xml:space="preserve"> </w:t>
      </w:r>
      <w:r w:rsidRPr="00222AB4">
        <w:rPr>
          <w:b/>
          <w:bCs/>
        </w:rPr>
        <w:t>84</w:t>
      </w:r>
      <w:r w:rsidRPr="00222AB4">
        <w:t>, 3, 462</w:t>
      </w:r>
      <w:r w:rsidR="00A0065D">
        <w:t xml:space="preserve"> (2007)</w:t>
      </w:r>
      <w:r>
        <w:t xml:space="preserve">. doi: </w:t>
      </w:r>
      <w:r w:rsidRPr="00222AB4">
        <w:t>10.1021/ed084p462</w:t>
      </w:r>
    </w:p>
    <w:p w14:paraId="6527B3DB" w14:textId="30127317" w:rsidR="00DB747D" w:rsidRPr="00DB747D" w:rsidRDefault="00BC29BA" w:rsidP="00DB747D">
      <w:pPr>
        <w:pStyle w:val="ListParagraph"/>
        <w:numPr>
          <w:ilvl w:val="0"/>
          <w:numId w:val="1"/>
        </w:numPr>
        <w:spacing w:line="360" w:lineRule="auto"/>
        <w:rPr>
          <w:rFonts w:cs="Times New Roman"/>
        </w:rPr>
      </w:pPr>
      <w:r w:rsidRPr="00DB747D">
        <w:rPr>
          <w:rFonts w:cs="Times New Roman"/>
          <w:i/>
          <w:iCs/>
        </w:rPr>
        <w:t xml:space="preserve">Nitrogen; </w:t>
      </w:r>
      <w:r w:rsidRPr="00DB747D">
        <w:rPr>
          <w:rFonts w:cs="Times New Roman"/>
        </w:rPr>
        <w:t xml:space="preserve">MSDS No. 001040; Airgas: Radnor, PA, August, 31, 2021. </w:t>
      </w:r>
      <w:hyperlink r:id="rId11" w:history="1">
        <w:r w:rsidR="009C2304" w:rsidRPr="00DB747D">
          <w:rPr>
            <w:rStyle w:val="Hyperlink"/>
            <w:rFonts w:cs="Times New Roman"/>
          </w:rPr>
          <w:t>https://www.airgas.com/msds/001040.pdf</w:t>
        </w:r>
      </w:hyperlink>
      <w:r w:rsidR="009C2304" w:rsidRPr="00DB747D">
        <w:rPr>
          <w:rFonts w:cs="Times New Roman"/>
        </w:rPr>
        <w:t xml:space="preserve"> (accessed 9/27/22)</w:t>
      </w:r>
    </w:p>
    <w:p w14:paraId="60C4B239" w14:textId="60AEF806" w:rsidR="00F7609D" w:rsidRPr="00DB747D" w:rsidRDefault="00F7609D" w:rsidP="00DB747D">
      <w:pPr>
        <w:pStyle w:val="ListParagraph"/>
        <w:numPr>
          <w:ilvl w:val="0"/>
          <w:numId w:val="1"/>
        </w:numPr>
        <w:spacing w:line="360" w:lineRule="auto"/>
        <w:rPr>
          <w:rFonts w:cs="Times New Roman"/>
        </w:rPr>
      </w:pPr>
      <w:r w:rsidRPr="00DB747D">
        <w:rPr>
          <w:rFonts w:cs="Times New Roman"/>
          <w:i/>
          <w:iCs/>
        </w:rPr>
        <w:t xml:space="preserve">Argon; </w:t>
      </w:r>
      <w:r w:rsidRPr="00DB747D">
        <w:rPr>
          <w:rFonts w:cs="Times New Roman"/>
        </w:rPr>
        <w:t xml:space="preserve">MSDS No. 001004; Airgas: Radnor, PA, January, 5, 2021. </w:t>
      </w:r>
      <w:hyperlink r:id="rId12" w:history="1">
        <w:r w:rsidRPr="00DB747D">
          <w:rPr>
            <w:rStyle w:val="Hyperlink"/>
            <w:rFonts w:cs="Times New Roman"/>
          </w:rPr>
          <w:t>https://www.airgas.com/msds/001004.pdf</w:t>
        </w:r>
      </w:hyperlink>
      <w:r w:rsidRPr="00DB747D">
        <w:rPr>
          <w:rFonts w:cs="Times New Roman"/>
        </w:rPr>
        <w:t xml:space="preserve"> (accessed 9/27/22)</w:t>
      </w:r>
    </w:p>
    <w:p w14:paraId="32E04505" w14:textId="77777777" w:rsidR="00F7609D" w:rsidRPr="00735940" w:rsidRDefault="00F7609D" w:rsidP="0046774E">
      <w:pPr>
        <w:spacing w:line="360" w:lineRule="auto"/>
        <w:rPr>
          <w:rFonts w:cs="Times New Roman"/>
        </w:rPr>
      </w:pPr>
    </w:p>
    <w:p w14:paraId="7F94D9DC" w14:textId="77777777" w:rsidR="00F7609D" w:rsidRPr="00735940" w:rsidRDefault="00F7609D" w:rsidP="0046774E">
      <w:pPr>
        <w:spacing w:line="360" w:lineRule="auto"/>
        <w:rPr>
          <w:rFonts w:cs="Times New Roman"/>
        </w:rPr>
      </w:pPr>
    </w:p>
    <w:p w14:paraId="07167BB1" w14:textId="6EB3CC0C" w:rsidR="000712E5" w:rsidRPr="00735940" w:rsidRDefault="00596D7F" w:rsidP="00C900B3">
      <w:pPr>
        <w:pStyle w:val="Heading1"/>
      </w:pPr>
      <w:r w:rsidRPr="00735940">
        <w:t>Calculations</w:t>
      </w:r>
      <w:r w:rsidR="000D4035" w:rsidRPr="00735940">
        <w:t>:</w:t>
      </w:r>
    </w:p>
    <w:p w14:paraId="14A67EA4" w14:textId="02A7DBE7" w:rsidR="000712E5" w:rsidRPr="00735940" w:rsidRDefault="000712E5" w:rsidP="0046774E">
      <w:pPr>
        <w:spacing w:line="360" w:lineRule="auto"/>
      </w:pPr>
      <w:r w:rsidRPr="00735940">
        <w:t>To propagate errors for P</w:t>
      </w:r>
      <w:r w:rsidRPr="00735940">
        <w:rPr>
          <w:vertAlign w:val="subscript"/>
        </w:rPr>
        <w:t>1</w:t>
      </w:r>
      <w:r w:rsidRPr="00735940">
        <w:t xml:space="preserve"> and P</w:t>
      </w:r>
      <w:r w:rsidRPr="00735940">
        <w:rPr>
          <w:vertAlign w:val="subscript"/>
        </w:rPr>
        <w:t>3</w:t>
      </w:r>
      <w:r w:rsidR="00596D7F" w:rsidRPr="00735940">
        <w:t>:</w:t>
      </w:r>
    </w:p>
    <w:p w14:paraId="1EEBBD12" w14:textId="32533769" w:rsidR="00F1658D" w:rsidRPr="00735940" w:rsidRDefault="00B072EB" w:rsidP="00BC29BA">
      <w:pPr>
        <w:spacing w:line="360" w:lineRule="auto"/>
        <w:jc w:val="center"/>
      </w:pPr>
      <w:r w:rsidRPr="00735940">
        <w:rPr>
          <w:noProof/>
        </w:rPr>
        <w:drawing>
          <wp:inline distT="0" distB="0" distL="0" distR="0" wp14:anchorId="3987BA65" wp14:editId="2D9B66CF">
            <wp:extent cx="5313218" cy="1989295"/>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346420" cy="2001726"/>
                    </a:xfrm>
                    <a:prstGeom prst="rect">
                      <a:avLst/>
                    </a:prstGeom>
                  </pic:spPr>
                </pic:pic>
              </a:graphicData>
            </a:graphic>
          </wp:inline>
        </w:drawing>
      </w:r>
    </w:p>
    <w:p w14:paraId="3D8187B1" w14:textId="78F9DE7F" w:rsidR="00BC29BA" w:rsidRDefault="00616694" w:rsidP="00BC29BA">
      <w:pPr>
        <w:spacing w:line="360" w:lineRule="auto"/>
      </w:pPr>
      <w:r>
        <w:t>Comparing literature values with experimental values for argon:</w:t>
      </w:r>
    </w:p>
    <w:p w14:paraId="24D9B516" w14:textId="57A9EFB2" w:rsidR="00616694" w:rsidRPr="00616694" w:rsidRDefault="00616694" w:rsidP="00616694">
      <w:pPr>
        <w:spacing w:line="360" w:lineRule="auto"/>
        <w:ind w:firstLine="720"/>
        <w:rPr>
          <w:rFonts w:eastAsiaTheme="minorEastAsia"/>
        </w:rPr>
      </w:pPr>
      <m:oMathPara>
        <m:oMath>
          <m:r>
            <w:rPr>
              <w:rFonts w:ascii="Cambria Math" w:eastAsiaTheme="minorEastAsia" w:hAnsi="Cambria Math"/>
            </w:rPr>
            <w:lastRenderedPageBreak/>
            <m:t>1.73-1.49±</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0.10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.95</m:t>
                  </m:r>
                </m:e>
                <m:sup>
                  <m:r>
                    <w:rPr>
                      <w:rFonts w:ascii="Cambria Math" w:eastAsiaTheme="minorEastAsia" w:hAnsi="Cambria Math"/>
                    </w:rPr>
                    <m:t>2</m:t>
                  </m:r>
                </m:sup>
              </m:sSup>
            </m:e>
          </m:rad>
          <m:r>
            <w:rPr>
              <w:rFonts w:ascii="Cambria Math" w:eastAsiaTheme="minorEastAsia" w:hAnsi="Cambria Math"/>
            </w:rPr>
            <m:t>=0.24±0.95</m:t>
          </m:r>
        </m:oMath>
      </m:oMathPara>
    </w:p>
    <w:sectPr w:rsidR="00616694" w:rsidRPr="00616694" w:rsidSect="00832DF7">
      <w:headerReference w:type="default" r:id="rId14"/>
      <w:footerReference w:type="default" r:id="rId15"/>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81F4" w14:textId="77777777" w:rsidR="00052E1B" w:rsidRDefault="00052E1B">
      <w:r>
        <w:separator/>
      </w:r>
    </w:p>
  </w:endnote>
  <w:endnote w:type="continuationSeparator" w:id="0">
    <w:p w14:paraId="313E8AE7" w14:textId="77777777" w:rsidR="00052E1B" w:rsidRDefault="0005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321208"/>
      <w:docPartObj>
        <w:docPartGallery w:val="Page Numbers (Bottom of Page)"/>
        <w:docPartUnique/>
      </w:docPartObj>
    </w:sdtPr>
    <w:sdtContent>
      <w:p w14:paraId="785E7041" w14:textId="77777777" w:rsidR="00F1658D" w:rsidRDefault="00DE66A4">
        <w:pPr>
          <w:pStyle w:val="Footer"/>
        </w:pPr>
        <w:r>
          <w:fldChar w:fldCharType="begin"/>
        </w:r>
        <w:r>
          <w:instrText xml:space="preserve"> PAGE </w:instrText>
        </w:r>
        <w:r>
          <w:fldChar w:fldCharType="separate"/>
        </w:r>
        <w:r>
          <w:t>5</w:t>
        </w:r>
        <w:r>
          <w:fldChar w:fldCharType="end"/>
        </w:r>
      </w:p>
    </w:sdtContent>
  </w:sdt>
  <w:p w14:paraId="5A056EF0" w14:textId="77777777"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7151" w14:textId="77777777" w:rsidR="00052E1B" w:rsidRDefault="00052E1B">
      <w:r>
        <w:separator/>
      </w:r>
    </w:p>
  </w:footnote>
  <w:footnote w:type="continuationSeparator" w:id="0">
    <w:p w14:paraId="792E5584" w14:textId="77777777" w:rsidR="00052E1B" w:rsidRDefault="0005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F716" w14:textId="77777777" w:rsidR="00F1658D" w:rsidRDefault="00F1658D">
    <w:pPr>
      <w:pStyle w:val="Header"/>
    </w:pPr>
  </w:p>
  <w:p w14:paraId="2833DE10" w14:textId="77777777" w:rsidR="00F1658D" w:rsidRDefault="00F1658D">
    <w:pPr>
      <w:pStyle w:val="Header"/>
    </w:pPr>
  </w:p>
  <w:p w14:paraId="68DAC1D5" w14:textId="77777777" w:rsidR="00F1658D" w:rsidRDefault="00F16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C0C"/>
    <w:multiLevelType w:val="hybridMultilevel"/>
    <w:tmpl w:val="09763246"/>
    <w:lvl w:ilvl="0" w:tplc="E26013B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1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D"/>
    <w:rsid w:val="00006D56"/>
    <w:rsid w:val="000115F4"/>
    <w:rsid w:val="00011EFB"/>
    <w:rsid w:val="00014F6B"/>
    <w:rsid w:val="00015E7B"/>
    <w:rsid w:val="000247CA"/>
    <w:rsid w:val="00043186"/>
    <w:rsid w:val="00052E1B"/>
    <w:rsid w:val="000615E3"/>
    <w:rsid w:val="00070463"/>
    <w:rsid w:val="000712E5"/>
    <w:rsid w:val="00091660"/>
    <w:rsid w:val="000B5AB5"/>
    <w:rsid w:val="000C4412"/>
    <w:rsid w:val="000C4939"/>
    <w:rsid w:val="000D24FD"/>
    <w:rsid w:val="000D4035"/>
    <w:rsid w:val="000D5FB8"/>
    <w:rsid w:val="000D7601"/>
    <w:rsid w:val="000E476F"/>
    <w:rsid w:val="000F6BAD"/>
    <w:rsid w:val="0010071F"/>
    <w:rsid w:val="001058D0"/>
    <w:rsid w:val="00105E67"/>
    <w:rsid w:val="0010734F"/>
    <w:rsid w:val="00117606"/>
    <w:rsid w:val="0012541A"/>
    <w:rsid w:val="00131889"/>
    <w:rsid w:val="00143454"/>
    <w:rsid w:val="00195FB2"/>
    <w:rsid w:val="001C2C49"/>
    <w:rsid w:val="001C460D"/>
    <w:rsid w:val="001D3BAE"/>
    <w:rsid w:val="001D4D19"/>
    <w:rsid w:val="001D57B7"/>
    <w:rsid w:val="001F69F3"/>
    <w:rsid w:val="00203EB3"/>
    <w:rsid w:val="0020569E"/>
    <w:rsid w:val="002069BA"/>
    <w:rsid w:val="00222AB4"/>
    <w:rsid w:val="00240D65"/>
    <w:rsid w:val="00253FEA"/>
    <w:rsid w:val="00260722"/>
    <w:rsid w:val="00262A2C"/>
    <w:rsid w:val="002900EC"/>
    <w:rsid w:val="002A0A81"/>
    <w:rsid w:val="002A50D4"/>
    <w:rsid w:val="002B0145"/>
    <w:rsid w:val="002B42A5"/>
    <w:rsid w:val="002E4EDD"/>
    <w:rsid w:val="002E738E"/>
    <w:rsid w:val="002F0D7C"/>
    <w:rsid w:val="002F4AFB"/>
    <w:rsid w:val="00301B7F"/>
    <w:rsid w:val="00307B0A"/>
    <w:rsid w:val="003176AD"/>
    <w:rsid w:val="0035496E"/>
    <w:rsid w:val="003843D8"/>
    <w:rsid w:val="00384530"/>
    <w:rsid w:val="003B51ED"/>
    <w:rsid w:val="003B7198"/>
    <w:rsid w:val="003C0B02"/>
    <w:rsid w:val="003C1C5C"/>
    <w:rsid w:val="003C2C68"/>
    <w:rsid w:val="003C5489"/>
    <w:rsid w:val="003E2084"/>
    <w:rsid w:val="003E5C49"/>
    <w:rsid w:val="00406B1A"/>
    <w:rsid w:val="0041565D"/>
    <w:rsid w:val="00417791"/>
    <w:rsid w:val="00433E49"/>
    <w:rsid w:val="00435F96"/>
    <w:rsid w:val="004410FB"/>
    <w:rsid w:val="00462AEC"/>
    <w:rsid w:val="00463135"/>
    <w:rsid w:val="0046774E"/>
    <w:rsid w:val="00471BC0"/>
    <w:rsid w:val="004733A9"/>
    <w:rsid w:val="004772C8"/>
    <w:rsid w:val="004878C4"/>
    <w:rsid w:val="004910BF"/>
    <w:rsid w:val="00496BCD"/>
    <w:rsid w:val="004A60B0"/>
    <w:rsid w:val="004B777C"/>
    <w:rsid w:val="004D5259"/>
    <w:rsid w:val="004E43F5"/>
    <w:rsid w:val="005414E4"/>
    <w:rsid w:val="00541A86"/>
    <w:rsid w:val="0056455D"/>
    <w:rsid w:val="00564ADD"/>
    <w:rsid w:val="00566F64"/>
    <w:rsid w:val="00596C1B"/>
    <w:rsid w:val="00596D7F"/>
    <w:rsid w:val="005A37F3"/>
    <w:rsid w:val="005B6F10"/>
    <w:rsid w:val="005C1460"/>
    <w:rsid w:val="005E4FE0"/>
    <w:rsid w:val="005F3C67"/>
    <w:rsid w:val="005F7672"/>
    <w:rsid w:val="00603138"/>
    <w:rsid w:val="00616694"/>
    <w:rsid w:val="00635D55"/>
    <w:rsid w:val="0064794C"/>
    <w:rsid w:val="00666CA8"/>
    <w:rsid w:val="00673304"/>
    <w:rsid w:val="00680B48"/>
    <w:rsid w:val="006846DF"/>
    <w:rsid w:val="00690A81"/>
    <w:rsid w:val="006922A2"/>
    <w:rsid w:val="006B2DB3"/>
    <w:rsid w:val="006E2942"/>
    <w:rsid w:val="006F3618"/>
    <w:rsid w:val="006F5DD9"/>
    <w:rsid w:val="00701AD2"/>
    <w:rsid w:val="00720294"/>
    <w:rsid w:val="00735940"/>
    <w:rsid w:val="00735D8E"/>
    <w:rsid w:val="007363FB"/>
    <w:rsid w:val="00740014"/>
    <w:rsid w:val="007453F6"/>
    <w:rsid w:val="0075364E"/>
    <w:rsid w:val="00754E16"/>
    <w:rsid w:val="00760675"/>
    <w:rsid w:val="00783415"/>
    <w:rsid w:val="007A5321"/>
    <w:rsid w:val="007C09A4"/>
    <w:rsid w:val="007E1BAB"/>
    <w:rsid w:val="007F4668"/>
    <w:rsid w:val="008019B8"/>
    <w:rsid w:val="00807203"/>
    <w:rsid w:val="008141CE"/>
    <w:rsid w:val="008170B6"/>
    <w:rsid w:val="00820A0D"/>
    <w:rsid w:val="00832DF7"/>
    <w:rsid w:val="00834FAB"/>
    <w:rsid w:val="00851DF7"/>
    <w:rsid w:val="00852A4F"/>
    <w:rsid w:val="00871255"/>
    <w:rsid w:val="00875044"/>
    <w:rsid w:val="008C1502"/>
    <w:rsid w:val="008D100C"/>
    <w:rsid w:val="008D12ED"/>
    <w:rsid w:val="008F080F"/>
    <w:rsid w:val="008F500C"/>
    <w:rsid w:val="00915FE9"/>
    <w:rsid w:val="00920B46"/>
    <w:rsid w:val="00960D49"/>
    <w:rsid w:val="0096330C"/>
    <w:rsid w:val="00963EFF"/>
    <w:rsid w:val="00981FA6"/>
    <w:rsid w:val="009B3B63"/>
    <w:rsid w:val="009B4CD8"/>
    <w:rsid w:val="009C2304"/>
    <w:rsid w:val="009D5315"/>
    <w:rsid w:val="00A0065D"/>
    <w:rsid w:val="00A06ABA"/>
    <w:rsid w:val="00A12070"/>
    <w:rsid w:val="00A12D92"/>
    <w:rsid w:val="00A2664A"/>
    <w:rsid w:val="00A35ACD"/>
    <w:rsid w:val="00A42F14"/>
    <w:rsid w:val="00A527D8"/>
    <w:rsid w:val="00A619F1"/>
    <w:rsid w:val="00A61D4A"/>
    <w:rsid w:val="00A62515"/>
    <w:rsid w:val="00A81FA1"/>
    <w:rsid w:val="00A97FFE"/>
    <w:rsid w:val="00AB10D5"/>
    <w:rsid w:val="00AB165E"/>
    <w:rsid w:val="00AB275F"/>
    <w:rsid w:val="00AB7BB8"/>
    <w:rsid w:val="00AC66EB"/>
    <w:rsid w:val="00B072EB"/>
    <w:rsid w:val="00B14A96"/>
    <w:rsid w:val="00B24609"/>
    <w:rsid w:val="00B249C1"/>
    <w:rsid w:val="00B34076"/>
    <w:rsid w:val="00B37E72"/>
    <w:rsid w:val="00B4499A"/>
    <w:rsid w:val="00B46DC4"/>
    <w:rsid w:val="00B51F88"/>
    <w:rsid w:val="00B67077"/>
    <w:rsid w:val="00B679E0"/>
    <w:rsid w:val="00B73195"/>
    <w:rsid w:val="00B81287"/>
    <w:rsid w:val="00B918AE"/>
    <w:rsid w:val="00B93078"/>
    <w:rsid w:val="00BC04B5"/>
    <w:rsid w:val="00BC29BA"/>
    <w:rsid w:val="00BC59DC"/>
    <w:rsid w:val="00BE5425"/>
    <w:rsid w:val="00BF0EC2"/>
    <w:rsid w:val="00C10AC7"/>
    <w:rsid w:val="00C122D2"/>
    <w:rsid w:val="00C41915"/>
    <w:rsid w:val="00C5369A"/>
    <w:rsid w:val="00C80971"/>
    <w:rsid w:val="00C900B3"/>
    <w:rsid w:val="00C97EEE"/>
    <w:rsid w:val="00CA1109"/>
    <w:rsid w:val="00CA7AAA"/>
    <w:rsid w:val="00CB09CA"/>
    <w:rsid w:val="00CB1500"/>
    <w:rsid w:val="00CC3B41"/>
    <w:rsid w:val="00CF603A"/>
    <w:rsid w:val="00D04963"/>
    <w:rsid w:val="00D0503A"/>
    <w:rsid w:val="00D0616F"/>
    <w:rsid w:val="00D107C3"/>
    <w:rsid w:val="00D115F6"/>
    <w:rsid w:val="00D132C1"/>
    <w:rsid w:val="00D15734"/>
    <w:rsid w:val="00D407FA"/>
    <w:rsid w:val="00D50C01"/>
    <w:rsid w:val="00D512B1"/>
    <w:rsid w:val="00D575E0"/>
    <w:rsid w:val="00D57BEE"/>
    <w:rsid w:val="00D7357D"/>
    <w:rsid w:val="00D74862"/>
    <w:rsid w:val="00D832C1"/>
    <w:rsid w:val="00D92CA6"/>
    <w:rsid w:val="00D9653B"/>
    <w:rsid w:val="00DA567E"/>
    <w:rsid w:val="00DB4338"/>
    <w:rsid w:val="00DB747D"/>
    <w:rsid w:val="00DB751E"/>
    <w:rsid w:val="00DC7D77"/>
    <w:rsid w:val="00DE66A4"/>
    <w:rsid w:val="00E10CD3"/>
    <w:rsid w:val="00E17A64"/>
    <w:rsid w:val="00E417AF"/>
    <w:rsid w:val="00E53C18"/>
    <w:rsid w:val="00E61D12"/>
    <w:rsid w:val="00E63C87"/>
    <w:rsid w:val="00E951A1"/>
    <w:rsid w:val="00EA11BB"/>
    <w:rsid w:val="00EC0040"/>
    <w:rsid w:val="00F010AC"/>
    <w:rsid w:val="00F02BC2"/>
    <w:rsid w:val="00F12920"/>
    <w:rsid w:val="00F1658D"/>
    <w:rsid w:val="00F26FA3"/>
    <w:rsid w:val="00F3325A"/>
    <w:rsid w:val="00F3671A"/>
    <w:rsid w:val="00F501CD"/>
    <w:rsid w:val="00F6137D"/>
    <w:rsid w:val="00F6488C"/>
    <w:rsid w:val="00F6490E"/>
    <w:rsid w:val="00F7609D"/>
    <w:rsid w:val="00FA7EE8"/>
    <w:rsid w:val="00FC27A5"/>
    <w:rsid w:val="00FD3AF5"/>
    <w:rsid w:val="00FF26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C44"/>
  <w15:docId w15:val="{3113E8F7-71BA-4631-B8A9-5E71AC9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DC"/>
    <w:rPr>
      <w:rFonts w:ascii="Times New Roman" w:hAnsi="Times New Roman"/>
    </w:rPr>
  </w:style>
  <w:style w:type="paragraph" w:styleId="Heading1">
    <w:name w:val="heading 1"/>
    <w:basedOn w:val="Normal"/>
    <w:next w:val="Normal"/>
    <w:link w:val="Heading1Char"/>
    <w:autoRedefine/>
    <w:uiPriority w:val="9"/>
    <w:qFormat/>
    <w:rsid w:val="00C900B3"/>
    <w:pPr>
      <w:keepNext/>
      <w:keepLines/>
      <w:spacing w:line="360" w:lineRule="auto"/>
      <w:jc w:val="both"/>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3510"/>
  </w:style>
  <w:style w:type="character" w:customStyle="1" w:styleId="FooterChar">
    <w:name w:val="Footer Char"/>
    <w:basedOn w:val="DefaultParagraphFont"/>
    <w:link w:val="Footer"/>
    <w:uiPriority w:val="99"/>
    <w:qFormat/>
    <w:rsid w:val="00BF351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qFormat/>
    <w:rsid w:val="001D4D19"/>
    <w:pPr>
      <w:keepNext/>
      <w:suppressLineNumbers/>
      <w:spacing w:before="120" w:after="120"/>
      <w:jc w:val="center"/>
    </w:pPr>
    <w:rPr>
      <w:rFonts w:cs="Lohit Devanagari"/>
      <w:bCs/>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3510"/>
    <w:pPr>
      <w:tabs>
        <w:tab w:val="center" w:pos="4680"/>
        <w:tab w:val="right" w:pos="9360"/>
      </w:tabs>
    </w:pPr>
  </w:style>
  <w:style w:type="paragraph" w:styleId="Footer">
    <w:name w:val="footer"/>
    <w:basedOn w:val="Normal"/>
    <w:link w:val="FooterChar"/>
    <w:uiPriority w:val="99"/>
    <w:unhideWhenUsed/>
    <w:rsid w:val="00BF3510"/>
    <w:pPr>
      <w:tabs>
        <w:tab w:val="center" w:pos="4680"/>
        <w:tab w:val="right" w:pos="9360"/>
      </w:tabs>
    </w:pPr>
  </w:style>
  <w:style w:type="table" w:styleId="TableGrid">
    <w:name w:val="Table Grid"/>
    <w:basedOn w:val="TableNormal"/>
    <w:uiPriority w:val="39"/>
    <w:rsid w:val="00F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DF7"/>
    <w:rPr>
      <w:color w:val="808080"/>
    </w:rPr>
  </w:style>
  <w:style w:type="character" w:customStyle="1" w:styleId="Heading1Char">
    <w:name w:val="Heading 1 Char"/>
    <w:basedOn w:val="DefaultParagraphFont"/>
    <w:link w:val="Heading1"/>
    <w:uiPriority w:val="9"/>
    <w:rsid w:val="00C900B3"/>
    <w:rPr>
      <w:rFonts w:ascii="Times New Roman" w:eastAsiaTheme="majorEastAsia" w:hAnsi="Times New Roman" w:cstheme="majorBidi"/>
      <w:color w:val="2F5496" w:themeColor="accent1" w:themeShade="BF"/>
      <w:sz w:val="32"/>
      <w:szCs w:val="32"/>
    </w:rPr>
  </w:style>
  <w:style w:type="table" w:styleId="TableGridLight">
    <w:name w:val="Grid Table Light"/>
    <w:basedOn w:val="TableNormal"/>
    <w:uiPriority w:val="40"/>
    <w:rsid w:val="0080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1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0EC2"/>
    <w:pPr>
      <w:ind w:left="720"/>
      <w:contextualSpacing/>
    </w:pPr>
  </w:style>
  <w:style w:type="character" w:styleId="Hyperlink">
    <w:name w:val="Hyperlink"/>
    <w:basedOn w:val="DefaultParagraphFont"/>
    <w:uiPriority w:val="99"/>
    <w:unhideWhenUsed/>
    <w:rsid w:val="009C2304"/>
    <w:rPr>
      <w:color w:val="0563C1" w:themeColor="hyperlink"/>
      <w:u w:val="single"/>
    </w:rPr>
  </w:style>
  <w:style w:type="character" w:styleId="UnresolvedMention">
    <w:name w:val="Unresolved Mention"/>
    <w:basedOn w:val="DefaultParagraphFont"/>
    <w:uiPriority w:val="99"/>
    <w:semiHidden/>
    <w:unhideWhenUsed/>
    <w:rsid w:val="009C2304"/>
    <w:rPr>
      <w:color w:val="605E5C"/>
      <w:shd w:val="clear" w:color="auto" w:fill="E1DFDD"/>
    </w:rPr>
  </w:style>
  <w:style w:type="character" w:styleId="FollowedHyperlink">
    <w:name w:val="FollowedHyperlink"/>
    <w:basedOn w:val="DefaultParagraphFont"/>
    <w:uiPriority w:val="99"/>
    <w:semiHidden/>
    <w:unhideWhenUsed/>
    <w:rsid w:val="001C460D"/>
    <w:rPr>
      <w:color w:val="954F72" w:themeColor="followedHyperlink"/>
      <w:u w:val="single"/>
    </w:rPr>
  </w:style>
  <w:style w:type="paragraph" w:styleId="EndnoteText">
    <w:name w:val="endnote text"/>
    <w:basedOn w:val="Normal"/>
    <w:link w:val="EndnoteTextChar"/>
    <w:uiPriority w:val="99"/>
    <w:semiHidden/>
    <w:unhideWhenUsed/>
    <w:rsid w:val="00963EFF"/>
    <w:rPr>
      <w:sz w:val="20"/>
      <w:szCs w:val="20"/>
    </w:rPr>
  </w:style>
  <w:style w:type="character" w:customStyle="1" w:styleId="EndnoteTextChar">
    <w:name w:val="Endnote Text Char"/>
    <w:basedOn w:val="DefaultParagraphFont"/>
    <w:link w:val="EndnoteText"/>
    <w:uiPriority w:val="99"/>
    <w:semiHidden/>
    <w:rsid w:val="00963EFF"/>
    <w:rPr>
      <w:rFonts w:ascii="Times New Roman" w:hAnsi="Times New Roman"/>
      <w:sz w:val="20"/>
      <w:szCs w:val="20"/>
    </w:rPr>
  </w:style>
  <w:style w:type="character" w:styleId="EndnoteReference">
    <w:name w:val="endnote reference"/>
    <w:basedOn w:val="DefaultParagraphFont"/>
    <w:uiPriority w:val="99"/>
    <w:semiHidden/>
    <w:unhideWhenUsed/>
    <w:rsid w:val="00963E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4932">
      <w:bodyDiv w:val="1"/>
      <w:marLeft w:val="0"/>
      <w:marRight w:val="0"/>
      <w:marTop w:val="0"/>
      <w:marBottom w:val="0"/>
      <w:divBdr>
        <w:top w:val="none" w:sz="0" w:space="0" w:color="auto"/>
        <w:left w:val="none" w:sz="0" w:space="0" w:color="auto"/>
        <w:bottom w:val="none" w:sz="0" w:space="0" w:color="auto"/>
        <w:right w:val="none" w:sz="0" w:space="0" w:color="auto"/>
      </w:divBdr>
    </w:div>
    <w:div w:id="1649281254">
      <w:bodyDiv w:val="1"/>
      <w:marLeft w:val="0"/>
      <w:marRight w:val="0"/>
      <w:marTop w:val="0"/>
      <w:marBottom w:val="0"/>
      <w:divBdr>
        <w:top w:val="none" w:sz="0" w:space="0" w:color="auto"/>
        <w:left w:val="none" w:sz="0" w:space="0" w:color="auto"/>
        <w:bottom w:val="none" w:sz="0" w:space="0" w:color="auto"/>
        <w:right w:val="none" w:sz="0" w:space="0" w:color="auto"/>
      </w:divBdr>
    </w:div>
    <w:div w:id="2019766586">
      <w:bodyDiv w:val="1"/>
      <w:marLeft w:val="0"/>
      <w:marRight w:val="0"/>
      <w:marTop w:val="0"/>
      <w:marBottom w:val="0"/>
      <w:divBdr>
        <w:top w:val="none" w:sz="0" w:space="0" w:color="auto"/>
        <w:left w:val="none" w:sz="0" w:space="0" w:color="auto"/>
        <w:bottom w:val="none" w:sz="0" w:space="0" w:color="auto"/>
        <w:right w:val="none" w:sz="0" w:space="0" w:color="auto"/>
      </w:divBdr>
    </w:div>
    <w:div w:id="208621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gas.com/msds/00100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rgas.com/msds/001040.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bm.co/v1cSB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E16E-5195-4E8B-8832-9455357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8</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dc:description/>
  <cp:lastModifiedBy>Nathan Gillispie</cp:lastModifiedBy>
  <cp:revision>188</cp:revision>
  <cp:lastPrinted>2022-09-28T04:53:00Z</cp:lastPrinted>
  <dcterms:created xsi:type="dcterms:W3CDTF">2022-09-06T19:13:00Z</dcterms:created>
  <dcterms:modified xsi:type="dcterms:W3CDTF">2022-09-28T04:55:00Z</dcterms:modified>
  <dc:language>en-US</dc:language>
</cp:coreProperties>
</file>