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7C6F" w14:textId="59D35964" w:rsidR="00D04963" w:rsidRPr="000115F4" w:rsidRDefault="00DE66A4" w:rsidP="00BE5425">
      <w:pPr>
        <w:spacing w:line="276" w:lineRule="auto"/>
        <w:jc w:val="both"/>
        <w:rPr>
          <w:rFonts w:cs="Times New Roman"/>
          <w:lang w:val="de-DE"/>
        </w:rPr>
      </w:pPr>
      <w:r w:rsidRPr="00735940">
        <w:rPr>
          <w:rFonts w:cs="Times New Roman"/>
          <w:lang w:val="de-DE"/>
        </w:rPr>
        <w:t>Nathan Gillispie</w:t>
      </w:r>
      <w:r w:rsidR="00D04963">
        <w:rPr>
          <w:rFonts w:cs="Times New Roman"/>
          <w:lang w:val="de-DE"/>
        </w:rPr>
        <w:tab/>
      </w:r>
      <w:r w:rsidR="000247CA">
        <w:rPr>
          <w:rFonts w:cs="Times New Roman"/>
          <w:lang w:val="de-DE"/>
        </w:rPr>
        <w:t xml:space="preserve">   </w:t>
      </w:r>
      <w:r w:rsidR="00D04963" w:rsidRPr="000115F4">
        <w:rPr>
          <w:rFonts w:cs="Times New Roman"/>
          <w:lang w:val="de-DE"/>
        </w:rPr>
        <w:t>Lab Partners: Peyton Strickland, Kelsi Sogge</w:t>
      </w:r>
      <w:r w:rsidR="000247CA">
        <w:rPr>
          <w:rFonts w:cs="Times New Roman"/>
          <w:lang w:val="de-DE"/>
        </w:rPr>
        <w:t xml:space="preserve"> </w:t>
      </w:r>
      <w:r w:rsidR="000247CA">
        <w:rPr>
          <w:rFonts w:cs="Times New Roman"/>
          <w:lang w:val="de-DE"/>
        </w:rPr>
        <w:tab/>
      </w:r>
      <w:r w:rsidR="000247CA">
        <w:rPr>
          <w:rFonts w:cs="Times New Roman"/>
          <w:lang w:val="de-DE"/>
        </w:rPr>
        <w:tab/>
        <w:t xml:space="preserve"> </w:t>
      </w:r>
      <w:r w:rsidR="000247CA" w:rsidRPr="000247CA">
        <w:rPr>
          <w:rFonts w:cs="Times New Roman"/>
          <w:lang w:val="de-DE"/>
        </w:rPr>
        <w:t>Lab date: August 31, 2022</w:t>
      </w:r>
    </w:p>
    <w:p w14:paraId="1F65AC67" w14:textId="7F867F8B" w:rsidR="00F1658D" w:rsidRDefault="00DE66A4" w:rsidP="00BE5425">
      <w:pPr>
        <w:spacing w:line="276" w:lineRule="auto"/>
        <w:jc w:val="both"/>
        <w:rPr>
          <w:rFonts w:cs="Times New Roman"/>
          <w:sz w:val="26"/>
          <w:szCs w:val="26"/>
        </w:rPr>
      </w:pPr>
      <w:r w:rsidRPr="00735940">
        <w:rPr>
          <w:rFonts w:cs="Times New Roman"/>
          <w:sz w:val="26"/>
          <w:szCs w:val="26"/>
        </w:rPr>
        <w:t>The Calculation of Heat Capacity Ratios of Nitrogen and Argon Using Adiabatic Expansion</w:t>
      </w:r>
    </w:p>
    <w:p w14:paraId="6B132200" w14:textId="04F13D7D" w:rsidR="00F1658D" w:rsidRPr="00735940" w:rsidRDefault="00D57BEE" w:rsidP="00BE5425">
      <w:pPr>
        <w:pStyle w:val="Heading1"/>
        <w:spacing w:line="276" w:lineRule="auto"/>
      </w:pPr>
      <w:r w:rsidRPr="00735940">
        <w:t>Introduction</w:t>
      </w:r>
      <w:r w:rsidR="00DE66A4" w:rsidRPr="00735940">
        <w:t>:</w:t>
      </w:r>
    </w:p>
    <w:p w14:paraId="2DC6F253" w14:textId="139A4A1B" w:rsidR="003176AD" w:rsidRDefault="00CA1109" w:rsidP="00462AEC">
      <w:pPr>
        <w:spacing w:line="360" w:lineRule="auto"/>
        <w:jc w:val="both"/>
        <w:rPr>
          <w:rFonts w:eastAsiaTheme="minorEastAsia" w:cs="Times New Roman"/>
        </w:rPr>
      </w:pPr>
      <w:r w:rsidRPr="00735940">
        <w:rPr>
          <w:rFonts w:eastAsiaTheme="minorEastAsia" w:cs="Times New Roman"/>
        </w:rPr>
        <w:tab/>
        <w:t xml:space="preserve">The heat </w:t>
      </w:r>
    </w:p>
    <w:tbl>
      <w:tblPr>
        <w:tblStyle w:val="PlainTable4"/>
        <w:tblpPr w:leftFromText="180" w:rightFromText="180" w:vertAnchor="text" w:horzAnchor="margin" w:tblpY="17"/>
        <w:tblW w:w="10070" w:type="dxa"/>
        <w:tblLook w:val="04A0" w:firstRow="1" w:lastRow="0" w:firstColumn="1" w:lastColumn="0" w:noHBand="0" w:noVBand="1"/>
      </w:tblPr>
      <w:tblGrid>
        <w:gridCol w:w="1980"/>
        <w:gridCol w:w="5940"/>
        <w:gridCol w:w="2150"/>
      </w:tblGrid>
      <w:tr w:rsidR="003176AD" w:rsidRPr="003B7198" w14:paraId="11F21433" w14:textId="77777777" w:rsidTr="007F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4D1FF1" w14:textId="77777777" w:rsidR="003176AD" w:rsidRPr="003B7198" w:rsidRDefault="003176AD" w:rsidP="007F7803">
            <w:pPr>
              <w:keepNext/>
              <w:spacing w:line="360" w:lineRule="auto"/>
              <w:jc w:val="center"/>
              <w:rPr>
                <w:rFonts w:eastAsia="Calibri" w:cs="Times New Roman"/>
                <w:b w:val="0"/>
                <w:bCs w:val="0"/>
              </w:rPr>
            </w:pPr>
          </w:p>
        </w:tc>
        <w:tc>
          <w:tcPr>
            <w:tcW w:w="5940" w:type="dxa"/>
          </w:tcPr>
          <w:p w14:paraId="3ECF2D81" w14:textId="72CBD7B0" w:rsidR="003176AD" w:rsidRPr="003176AD" w:rsidRDefault="00000000" w:rsidP="003176AD">
            <w:pPr>
              <w:spacing w:line="360" w:lineRule="auto"/>
              <w:jc w:val="both"/>
              <w:cnfStyle w:val="100000000000" w:firstRow="1" w:lastRow="0" w:firstColumn="0" w:lastColumn="0" w:oddVBand="0" w:evenVBand="0" w:oddHBand="0" w:evenHBand="0" w:firstRowFirstColumn="0" w:firstRowLastColumn="0" w:lastRowFirstColumn="0" w:lastRowLastColumn="0"/>
              <w:rPr>
                <w:rFonts w:eastAsiaTheme="minorEastAsia"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P,m</m:t>
                    </m:r>
                  </m:sub>
                </m:sSub>
                <m:r>
                  <m:rPr>
                    <m:sty m:val="bi"/>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V,m</m:t>
                    </m:r>
                  </m:sub>
                </m:sSub>
                <m:r>
                  <m:rPr>
                    <m:sty m:val="bi"/>
                  </m:rPr>
                  <w:rPr>
                    <w:rFonts w:ascii="Cambria Math" w:eastAsiaTheme="minorEastAsia" w:hAnsi="Cambria Math" w:cs="Times New Roman"/>
                  </w:rPr>
                  <m:t>=R</m:t>
                </m:r>
              </m:oMath>
            </m:oMathPara>
          </w:p>
        </w:tc>
        <w:tc>
          <w:tcPr>
            <w:tcW w:w="2150" w:type="dxa"/>
          </w:tcPr>
          <w:p w14:paraId="2D11763F" w14:textId="77777777" w:rsidR="003176AD" w:rsidRPr="003B7198" w:rsidRDefault="003176AD" w:rsidP="007F7803">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3B7198">
              <w:rPr>
                <w:rFonts w:cs="Times New Roman"/>
                <w:b w:val="0"/>
                <w:bCs w:val="0"/>
              </w:rPr>
              <w:t>(1)</w:t>
            </w:r>
          </w:p>
        </w:tc>
      </w:tr>
    </w:tbl>
    <w:p w14:paraId="04174EEC" w14:textId="36369ACC" w:rsidR="00F1658D" w:rsidRPr="00735940" w:rsidRDefault="00DE66A4" w:rsidP="00C900B3">
      <w:pPr>
        <w:pStyle w:val="Heading1"/>
      </w:pPr>
      <w:r w:rsidRPr="00735940">
        <w:t xml:space="preserve">Experimental Methods: </w:t>
      </w:r>
    </w:p>
    <w:p w14:paraId="6E3C7D09" w14:textId="30F122F7" w:rsidR="00F26FA3" w:rsidRDefault="002F0D7C" w:rsidP="00414F63">
      <w:pPr>
        <w:spacing w:after="240" w:line="360" w:lineRule="auto"/>
        <w:ind w:firstLine="720"/>
        <w:jc w:val="both"/>
        <w:rPr>
          <w:rFonts w:eastAsiaTheme="majorEastAsia" w:cstheme="majorBidi"/>
          <w:color w:val="2F5496" w:themeColor="accent1" w:themeShade="BF"/>
          <w:sz w:val="32"/>
          <w:szCs w:val="32"/>
        </w:rPr>
      </w:pPr>
      <w:r w:rsidRPr="00735940">
        <w:rPr>
          <w:noProof/>
        </w:rPr>
        <mc:AlternateContent>
          <mc:Choice Requires="wps">
            <w:drawing>
              <wp:anchor distT="0" distB="0" distL="114300" distR="114300" simplePos="0" relativeHeight="251659264" behindDoc="1" locked="0" layoutInCell="1" allowOverlap="1" wp14:anchorId="350BADFB" wp14:editId="25899841">
                <wp:simplePos x="0" y="0"/>
                <wp:positionH relativeFrom="margin">
                  <wp:posOffset>3453130</wp:posOffset>
                </wp:positionH>
                <wp:positionV relativeFrom="paragraph">
                  <wp:posOffset>2347254</wp:posOffset>
                </wp:positionV>
                <wp:extent cx="2932430" cy="654685"/>
                <wp:effectExtent l="0" t="0" r="1270" b="12065"/>
                <wp:wrapSquare wrapText="bothSides"/>
                <wp:docPr id="2" name="Text Box 2"/>
                <wp:cNvGraphicFramePr/>
                <a:graphic xmlns:a="http://schemas.openxmlformats.org/drawingml/2006/main">
                  <a:graphicData uri="http://schemas.microsoft.com/office/word/2010/wordprocessingShape">
                    <wps:wsp>
                      <wps:cNvSpPr txBox="1"/>
                      <wps:spPr>
                        <a:xfrm>
                          <a:off x="0" y="0"/>
                          <a:ext cx="2932430" cy="654685"/>
                        </a:xfrm>
                        <a:prstGeom prst="rect">
                          <a:avLst/>
                        </a:prstGeom>
                        <a:noFill/>
                        <a:ln>
                          <a:noFill/>
                        </a:ln>
                      </wps:spPr>
                      <wps:txbx>
                        <w:txbxContent>
                          <w:p w14:paraId="6D5FD9AA" w14:textId="4583EBD0" w:rsidR="00673304" w:rsidRPr="002A50D4" w:rsidRDefault="00673304" w:rsidP="002F0D7C">
                            <w:pPr>
                              <w:pStyle w:val="Caption"/>
                              <w:jc w:val="both"/>
                              <w:rPr>
                                <w:rFonts w:cs="Times New Roman"/>
                              </w:rPr>
                            </w:pPr>
                            <w:r w:rsidRPr="00A35ACD">
                              <w:rPr>
                                <w:b/>
                              </w:rPr>
                              <w:t xml:space="preserve">Figure </w:t>
                            </w:r>
                            <w:r w:rsidRPr="00A35ACD">
                              <w:rPr>
                                <w:b/>
                              </w:rPr>
                              <w:fldChar w:fldCharType="begin"/>
                            </w:r>
                            <w:r w:rsidRPr="00A35ACD">
                              <w:rPr>
                                <w:b/>
                              </w:rPr>
                              <w:instrText xml:space="preserve"> SEQ Figure \* ARABIC </w:instrText>
                            </w:r>
                            <w:r w:rsidRPr="00A35ACD">
                              <w:rPr>
                                <w:b/>
                              </w:rPr>
                              <w:fldChar w:fldCharType="separate"/>
                            </w:r>
                            <w:r w:rsidR="00A2664A">
                              <w:rPr>
                                <w:b/>
                                <w:noProof/>
                              </w:rPr>
                              <w:t>1</w:t>
                            </w:r>
                            <w:r w:rsidRPr="00A35ACD">
                              <w:rPr>
                                <w:b/>
                              </w:rPr>
                              <w:fldChar w:fldCharType="end"/>
                            </w:r>
                            <w:r w:rsidR="00A35ACD" w:rsidRPr="002A50D4">
                              <w:rPr>
                                <w:b/>
                              </w:rPr>
                              <w:t>.</w:t>
                            </w:r>
                            <w:r w:rsidRPr="002A50D4">
                              <w:t xml:space="preserve"> </w:t>
                            </w:r>
                            <w:r w:rsidR="0041565D" w:rsidRPr="002A50D4">
                              <w:t>V</w:t>
                            </w:r>
                            <w:r w:rsidRPr="002A50D4">
                              <w:t>essel with a gas canister to the left</w:t>
                            </w:r>
                            <w:r w:rsidR="005C1460" w:rsidRPr="002A50D4">
                              <w:t xml:space="preserve"> and pressure gauge to the right</w:t>
                            </w:r>
                            <w:r w:rsidR="00DB751E" w:rsidRPr="002A50D4">
                              <w:t>. The system is closed by a rubber stopper.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BADFB" id="_x0000_t202" coordsize="21600,21600" o:spt="202" path="m,l,21600r21600,l21600,xe">
                <v:stroke joinstyle="miter"/>
                <v:path gradientshapeok="t" o:connecttype="rect"/>
              </v:shapetype>
              <v:shape id="Text Box 2" o:spid="_x0000_s1026" type="#_x0000_t202" style="position:absolute;left:0;text-align:left;margin-left:271.9pt;margin-top:184.8pt;width:230.9pt;height:51.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" filled="f" stroked="f">
                <v:textbox inset="0,0,0,0">
                  <w:txbxContent>
                    <w:p w14:paraId="6D5FD9AA" w14:textId="4583EBD0" w:rsidR="00673304" w:rsidRPr="002A50D4" w:rsidRDefault="00673304" w:rsidP="002F0D7C">
                      <w:pPr>
                        <w:pStyle w:val="Caption"/>
                        <w:jc w:val="both"/>
                        <w:rPr>
                          <w:rFonts w:cs="Times New Roman"/>
                        </w:rPr>
                      </w:pPr>
                      <w:r w:rsidRPr="00A35ACD">
                        <w:rPr>
                          <w:b/>
                        </w:rPr>
                        <w:t xml:space="preserve">Figure </w:t>
                      </w:r>
                      <w:r w:rsidRPr="00A35ACD">
                        <w:rPr>
                          <w:b/>
                        </w:rPr>
                        <w:fldChar w:fldCharType="begin"/>
                      </w:r>
                      <w:r w:rsidRPr="00A35ACD">
                        <w:rPr>
                          <w:b/>
                        </w:rPr>
                        <w:instrText xml:space="preserve"> SEQ Figure \* ARABIC </w:instrText>
                      </w:r>
                      <w:r w:rsidRPr="00A35ACD">
                        <w:rPr>
                          <w:b/>
                        </w:rPr>
                        <w:fldChar w:fldCharType="separate"/>
                      </w:r>
                      <w:r w:rsidR="00A2664A">
                        <w:rPr>
                          <w:b/>
                          <w:noProof/>
                        </w:rPr>
                        <w:t>1</w:t>
                      </w:r>
                      <w:r w:rsidRPr="00A35ACD">
                        <w:rPr>
                          <w:b/>
                        </w:rPr>
                        <w:fldChar w:fldCharType="end"/>
                      </w:r>
                      <w:r w:rsidR="00A35ACD" w:rsidRPr="002A50D4">
                        <w:rPr>
                          <w:b/>
                        </w:rPr>
                        <w:t>.</w:t>
                      </w:r>
                      <w:r w:rsidRPr="002A50D4">
                        <w:t xml:space="preserve"> </w:t>
                      </w:r>
                      <w:r w:rsidR="0041565D" w:rsidRPr="002A50D4">
                        <w:t>V</w:t>
                      </w:r>
                      <w:r w:rsidRPr="002A50D4">
                        <w:t>essel with a gas canister to the left</w:t>
                      </w:r>
                      <w:r w:rsidR="005C1460" w:rsidRPr="002A50D4">
                        <w:t xml:space="preserve"> and pressure gauge to the right</w:t>
                      </w:r>
                      <w:r w:rsidR="00DB751E" w:rsidRPr="002A50D4">
                        <w:t>. The system is closed by a rubber stopper.</w:t>
                      </w:r>
                    </w:p>
                  </w:txbxContent>
                </v:textbox>
                <w10:wrap type="square" anchorx="margin"/>
              </v:shape>
            </w:pict>
          </mc:Fallback>
        </mc:AlternateContent>
      </w:r>
      <w:r w:rsidRPr="00735940">
        <w:rPr>
          <w:rFonts w:cs="Times New Roman"/>
          <w:noProof/>
        </w:rPr>
        <w:drawing>
          <wp:anchor distT="0" distB="0" distL="114300" distR="114300" simplePos="0" relativeHeight="251660288" behindDoc="1" locked="0" layoutInCell="1" allowOverlap="1" wp14:anchorId="4E3504D4" wp14:editId="70B9DC17">
            <wp:simplePos x="0" y="0"/>
            <wp:positionH relativeFrom="margin">
              <wp:posOffset>3449007</wp:posOffset>
            </wp:positionH>
            <wp:positionV relativeFrom="paragraph">
              <wp:posOffset>19742</wp:posOffset>
            </wp:positionV>
            <wp:extent cx="2936875" cy="2179320"/>
            <wp:effectExtent l="0" t="0" r="0" b="0"/>
            <wp:wrapTight wrapText="bothSides">
              <wp:wrapPolygon edited="0">
                <wp:start x="21600" y="21600"/>
                <wp:lineTo x="21600" y="264"/>
                <wp:lineTo x="163" y="264"/>
                <wp:lineTo x="163" y="21600"/>
                <wp:lineTo x="2160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293687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460">
        <w:rPr>
          <w:rFonts w:cs="Times New Roman"/>
        </w:rPr>
        <w:t xml:space="preserve">The apparatus consists of a 5-gallon jug connected to a pressure gauge and gas cylinder. The </w:t>
      </w:r>
      <w:r w:rsidR="00DE66A4" w:rsidRPr="00735940">
        <w:rPr>
          <w:rFonts w:cs="Times New Roman"/>
        </w:rPr>
        <w:t>5-gallon glass jug was used as a vessel</w:t>
      </w:r>
      <w:r w:rsidR="00A35ACD">
        <w:rPr>
          <w:rFonts w:cs="Times New Roman"/>
        </w:rPr>
        <w:t xml:space="preserve"> to contain argon and nitrogen for the process. </w:t>
      </w:r>
      <w:r w:rsidR="00B37E72">
        <w:rPr>
          <w:rFonts w:cs="Times New Roman"/>
        </w:rPr>
        <w:t>This</w:t>
      </w:r>
      <w:r w:rsidR="00A35ACD">
        <w:rPr>
          <w:rFonts w:cs="Times New Roman"/>
        </w:rPr>
        <w:t xml:space="preserve"> was defined as the system. </w:t>
      </w:r>
      <w:r w:rsidR="00DE66A4" w:rsidRPr="00735940">
        <w:rPr>
          <w:rFonts w:cs="Times New Roman"/>
        </w:rPr>
        <w:t>Before beginning the experiment, the vessel was filled with either argon or nitrogen. The procedure for both was identical: the vessel was lowered upside down into a water bath with a tube allowing air in the vessel to be displaced by the water. The same tube was plugged into a regulator on the gas cylinder and the gas was allowed to displace the water in vessel until gas flowed freely out the surface of the water. The vessel was quickly raised out of the water bath and capped with the</w:t>
      </w:r>
      <w:r w:rsidR="006B2DB3">
        <w:rPr>
          <w:rFonts w:cs="Times New Roman"/>
        </w:rPr>
        <w:t xml:space="preserve"> 3-holed</w:t>
      </w:r>
      <w:r w:rsidR="00DE66A4" w:rsidRPr="00735940">
        <w:rPr>
          <w:rFonts w:cs="Times New Roman"/>
        </w:rPr>
        <w:t xml:space="preserve"> rubber stopper.</w:t>
      </w:r>
      <w:r w:rsidR="006B2DB3">
        <w:rPr>
          <w:rFonts w:cs="Times New Roman"/>
        </w:rPr>
        <w:t xml:space="preserve"> All tubes were connected as shown in figure 1.</w:t>
      </w:r>
      <w:r w:rsidR="00DE66A4" w:rsidRPr="00735940">
        <w:rPr>
          <w:rFonts w:cs="Times New Roman"/>
        </w:rPr>
        <w:t xml:space="preserve"> Tube </w:t>
      </w:r>
      <w:r w:rsidR="00673304" w:rsidRPr="00735940">
        <w:rPr>
          <w:rFonts w:cs="Times New Roman"/>
        </w:rPr>
        <w:t>C</w:t>
      </w:r>
      <w:r w:rsidR="00DE66A4" w:rsidRPr="00735940">
        <w:rPr>
          <w:rFonts w:cs="Times New Roman"/>
        </w:rPr>
        <w:t xml:space="preserve"> was attached to a digital pressure gauge to determine the difference between ambient atmospheric pressure and the pressure in the vessel</w:t>
      </w:r>
      <w:r w:rsidR="00B37E72">
        <w:rPr>
          <w:rFonts w:cs="Times New Roman"/>
        </w:rPr>
        <w:t xml:space="preserve"> </w:t>
      </w:r>
      <w:proofErr w:type="spellStart"/>
      <w:r w:rsidR="00B37E72" w:rsidRPr="00735940">
        <w:rPr>
          <w:color w:val="000000"/>
        </w:rPr>
        <w:t>P</w:t>
      </w:r>
      <w:r w:rsidR="00B37E72" w:rsidRPr="00735940">
        <w:rPr>
          <w:color w:val="000000"/>
          <w:vertAlign w:val="subscript"/>
        </w:rPr>
        <w:t>gauge</w:t>
      </w:r>
      <w:proofErr w:type="spellEnd"/>
      <w:r w:rsidR="00DE66A4" w:rsidRPr="00735940">
        <w:rPr>
          <w:rFonts w:cs="Times New Roman"/>
        </w:rPr>
        <w:t xml:space="preserve">. Tube </w:t>
      </w:r>
      <w:r w:rsidR="00673304" w:rsidRPr="00735940">
        <w:rPr>
          <w:rFonts w:cs="Times New Roman"/>
        </w:rPr>
        <w:t>A</w:t>
      </w:r>
      <w:r w:rsidR="00DE66A4" w:rsidRPr="00735940">
        <w:rPr>
          <w:rFonts w:cs="Times New Roman"/>
        </w:rPr>
        <w:t xml:space="preserve"> was attached to the gas canister and tube </w:t>
      </w:r>
      <w:r w:rsidR="00673304" w:rsidRPr="00735940">
        <w:rPr>
          <w:rFonts w:cs="Times New Roman"/>
        </w:rPr>
        <w:t>B</w:t>
      </w:r>
      <w:r w:rsidR="00DE66A4" w:rsidRPr="00735940">
        <w:rPr>
          <w:rFonts w:cs="Times New Roman"/>
        </w:rPr>
        <w:t xml:space="preserve"> was clamped closed.</w:t>
      </w:r>
    </w:p>
    <w:p w14:paraId="7752E886" w14:textId="3F6DB16D" w:rsidR="00CB1500" w:rsidRPr="00735940" w:rsidRDefault="00CB1500" w:rsidP="00C900B3">
      <w:pPr>
        <w:pStyle w:val="Heading1"/>
      </w:pPr>
      <w:r w:rsidRPr="00735940">
        <w:t xml:space="preserve">Data and </w:t>
      </w:r>
      <w:r w:rsidR="00DE66A4" w:rsidRPr="00735940">
        <w:t>Results:</w:t>
      </w:r>
    </w:p>
    <w:p w14:paraId="47A0C7A7" w14:textId="7485D842" w:rsidR="00CB1500" w:rsidRPr="00F26FA3" w:rsidRDefault="00CB1500" w:rsidP="00A97FFE">
      <w:pPr>
        <w:pStyle w:val="Caption"/>
        <w:jc w:val="both"/>
        <w:rPr>
          <w:b/>
        </w:rPr>
      </w:pPr>
      <w:r w:rsidRPr="00262A2C">
        <w:rPr>
          <w:b/>
        </w:rPr>
        <w:t xml:space="preserve">Table </w:t>
      </w:r>
      <w:r w:rsidR="001058D0" w:rsidRPr="00262A2C">
        <w:rPr>
          <w:b/>
        </w:rPr>
        <w:fldChar w:fldCharType="begin"/>
      </w:r>
      <w:r w:rsidR="001058D0" w:rsidRPr="00262A2C">
        <w:rPr>
          <w:b/>
        </w:rPr>
        <w:instrText xml:space="preserve"> SEQ Table \* ARABIC </w:instrText>
      </w:r>
      <w:r w:rsidR="001058D0" w:rsidRPr="00262A2C">
        <w:rPr>
          <w:b/>
        </w:rPr>
        <w:fldChar w:fldCharType="separate"/>
      </w:r>
      <w:r w:rsidR="00A2664A">
        <w:rPr>
          <w:b/>
          <w:noProof/>
        </w:rPr>
        <w:t>1</w:t>
      </w:r>
      <w:r w:rsidR="001058D0" w:rsidRPr="00262A2C">
        <w:rPr>
          <w:b/>
          <w:noProof/>
        </w:rPr>
        <w:fldChar w:fldCharType="end"/>
      </w:r>
      <w:r w:rsidR="00262A2C" w:rsidRPr="00262A2C">
        <w:rPr>
          <w:b/>
        </w:rPr>
        <w:t>.</w:t>
      </w:r>
      <w:r w:rsidR="000615E3" w:rsidRPr="000615E3">
        <w:rPr>
          <w:b/>
        </w:rPr>
        <w:t xml:space="preserve"> </w:t>
      </w:r>
      <w:r w:rsidR="00262A2C" w:rsidRPr="002A50D4">
        <w:t>Data</w:t>
      </w:r>
      <w:r w:rsidR="00C80971" w:rsidRPr="002A50D4">
        <w:t xml:space="preserve"> and calculations for gamma with uncertaint</w:t>
      </w:r>
      <w:r w:rsidR="00A06ABA">
        <w:t>ies</w:t>
      </w:r>
      <w:r w:rsidR="00C80971" w:rsidRPr="002A50D4">
        <w:t>.</w:t>
      </w:r>
      <w:r w:rsidR="00A97FFE">
        <w:t xml:space="preserve"> P</w:t>
      </w:r>
      <w:r w:rsidR="00A97FFE" w:rsidRPr="00A97FFE">
        <w:rPr>
          <w:vertAlign w:val="subscript"/>
        </w:rPr>
        <w:t>3</w:t>
      </w:r>
      <w:r w:rsidR="00A97FFE">
        <w:rPr>
          <w:vertAlign w:val="subscript"/>
        </w:rPr>
        <w:t xml:space="preserve"> </w:t>
      </w:r>
      <w:r w:rsidR="00A97FFE">
        <w:rPr>
          <w:vertAlign w:val="subscript"/>
        </w:rPr>
        <w:softHyphen/>
      </w:r>
      <w:r w:rsidR="00A97FFE">
        <w:t xml:space="preserve">for argon is higher on average which corresponds to the difference in gamma values for nitrogen and argon. The argon trial 1 seems to be a statistical error though as it </w:t>
      </w:r>
      <w:r w:rsidR="00F26FA3">
        <w:t>has a lower P</w:t>
      </w:r>
      <w:r w:rsidR="00F26FA3" w:rsidRPr="00F26FA3">
        <w:rPr>
          <w:vertAlign w:val="subscript"/>
        </w:rPr>
        <w:t>3</w:t>
      </w:r>
      <w:r w:rsidR="00F26FA3">
        <w:rPr>
          <w:vertAlign w:val="subscript"/>
        </w:rPr>
        <w:t xml:space="preserve"> </w:t>
      </w:r>
      <w:r w:rsidR="00F26FA3">
        <w:t>than either nitrogen trial.</w:t>
      </w:r>
      <w:r w:rsidR="007E1BAB">
        <w:t xml:space="preserve"> The temperature drop for each is similar.</w:t>
      </w:r>
    </w:p>
    <w:tbl>
      <w:tblPr>
        <w:tblW w:w="100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34"/>
        <w:gridCol w:w="1350"/>
        <w:gridCol w:w="1530"/>
        <w:gridCol w:w="1530"/>
        <w:gridCol w:w="1800"/>
        <w:gridCol w:w="1248"/>
      </w:tblGrid>
      <w:tr w:rsidR="00963EFF" w:rsidRPr="00735940" w14:paraId="53B75DFE" w14:textId="77777777" w:rsidTr="00963EFF">
        <w:trPr>
          <w:trHeight w:val="290"/>
        </w:trPr>
        <w:tc>
          <w:tcPr>
            <w:tcW w:w="1176" w:type="dxa"/>
            <w:shd w:val="clear" w:color="auto" w:fill="auto"/>
            <w:vAlign w:val="center"/>
            <w:hideMark/>
          </w:tcPr>
          <w:p w14:paraId="42AF4C53" w14:textId="77777777" w:rsidR="00AB165E" w:rsidRPr="00735940" w:rsidRDefault="00AB165E" w:rsidP="00AB7712">
            <w:pPr>
              <w:rPr>
                <w:color w:val="000000"/>
              </w:rPr>
            </w:pPr>
            <w:r w:rsidRPr="00735940">
              <w:rPr>
                <w:color w:val="000000"/>
              </w:rPr>
              <w:t> </w:t>
            </w:r>
          </w:p>
        </w:tc>
        <w:tc>
          <w:tcPr>
            <w:tcW w:w="1434" w:type="dxa"/>
            <w:shd w:val="clear" w:color="auto" w:fill="auto"/>
            <w:vAlign w:val="center"/>
            <w:hideMark/>
          </w:tcPr>
          <w:p w14:paraId="5A0FD881" w14:textId="77777777" w:rsidR="00AB165E" w:rsidRPr="00735940" w:rsidRDefault="00AB165E" w:rsidP="00AB7712">
            <w:pPr>
              <w:rPr>
                <w:color w:val="000000"/>
              </w:rPr>
            </w:pPr>
            <w:r w:rsidRPr="00735940">
              <w:rPr>
                <w:color w:val="000000"/>
              </w:rPr>
              <w:t>P</w:t>
            </w:r>
            <w:r w:rsidRPr="00735940">
              <w:rPr>
                <w:color w:val="000000"/>
                <w:vertAlign w:val="subscript"/>
              </w:rPr>
              <w:t xml:space="preserve">1, gauge </w:t>
            </w:r>
            <w:r w:rsidRPr="00735940">
              <w:rPr>
                <w:color w:val="000000"/>
              </w:rPr>
              <w:t>(psi)</w:t>
            </w:r>
          </w:p>
        </w:tc>
        <w:tc>
          <w:tcPr>
            <w:tcW w:w="1350" w:type="dxa"/>
            <w:shd w:val="clear" w:color="auto" w:fill="auto"/>
            <w:vAlign w:val="center"/>
            <w:hideMark/>
          </w:tcPr>
          <w:p w14:paraId="2CF1AA3A" w14:textId="77777777" w:rsidR="00AB165E" w:rsidRPr="00735940" w:rsidRDefault="00AB165E" w:rsidP="00AB7712">
            <w:pPr>
              <w:rPr>
                <w:color w:val="000000"/>
              </w:rPr>
            </w:pPr>
            <w:r w:rsidRPr="00735940">
              <w:rPr>
                <w:color w:val="000000"/>
              </w:rPr>
              <w:t>P</w:t>
            </w:r>
            <w:r w:rsidRPr="00735940">
              <w:rPr>
                <w:color w:val="000000"/>
                <w:vertAlign w:val="subscript"/>
              </w:rPr>
              <w:t xml:space="preserve">3, gauge </w:t>
            </w:r>
            <w:r w:rsidRPr="00735940">
              <w:rPr>
                <w:color w:val="000000"/>
              </w:rPr>
              <w:t>(psi)</w:t>
            </w:r>
          </w:p>
        </w:tc>
        <w:tc>
          <w:tcPr>
            <w:tcW w:w="1530" w:type="dxa"/>
            <w:shd w:val="clear" w:color="auto" w:fill="auto"/>
            <w:vAlign w:val="center"/>
            <w:hideMark/>
          </w:tcPr>
          <w:p w14:paraId="4E1C32FC" w14:textId="77777777" w:rsidR="00AB165E" w:rsidRPr="00735940" w:rsidRDefault="00AB165E" w:rsidP="00AB7712">
            <w:pPr>
              <w:rPr>
                <w:color w:val="000000"/>
              </w:rPr>
            </w:pPr>
            <w:r w:rsidRPr="00735940">
              <w:rPr>
                <w:color w:val="000000"/>
              </w:rPr>
              <w:t>P</w:t>
            </w:r>
            <w:r w:rsidRPr="00735940">
              <w:rPr>
                <w:color w:val="000000"/>
                <w:vertAlign w:val="subscript"/>
              </w:rPr>
              <w:t xml:space="preserve">1 </w:t>
            </w:r>
            <w:r w:rsidRPr="00735940">
              <w:rPr>
                <w:color w:val="000000"/>
              </w:rPr>
              <w:t>(psi)</w:t>
            </w:r>
          </w:p>
        </w:tc>
        <w:tc>
          <w:tcPr>
            <w:tcW w:w="1530" w:type="dxa"/>
            <w:shd w:val="clear" w:color="auto" w:fill="auto"/>
            <w:vAlign w:val="center"/>
            <w:hideMark/>
          </w:tcPr>
          <w:p w14:paraId="2ADCC511" w14:textId="77777777" w:rsidR="00AB165E" w:rsidRPr="00735940" w:rsidRDefault="00AB165E" w:rsidP="00AB7712">
            <w:pPr>
              <w:rPr>
                <w:color w:val="000000"/>
              </w:rPr>
            </w:pPr>
            <w:r w:rsidRPr="00735940">
              <w:rPr>
                <w:color w:val="000000"/>
              </w:rPr>
              <w:t>P</w:t>
            </w:r>
            <w:r w:rsidRPr="00735940">
              <w:rPr>
                <w:color w:val="000000"/>
                <w:vertAlign w:val="subscript"/>
              </w:rPr>
              <w:t xml:space="preserve">3 </w:t>
            </w:r>
            <w:r w:rsidRPr="00735940">
              <w:rPr>
                <w:color w:val="000000"/>
              </w:rPr>
              <w:t>(psi)</w:t>
            </w:r>
          </w:p>
        </w:tc>
        <w:tc>
          <w:tcPr>
            <w:tcW w:w="1800" w:type="dxa"/>
          </w:tcPr>
          <w:p w14:paraId="169D8225" w14:textId="10A86119" w:rsidR="00AB165E" w:rsidRPr="00735940" w:rsidRDefault="00963EFF" w:rsidP="00AB7712">
            <w:pPr>
              <w:rPr>
                <w:color w:val="000000"/>
              </w:rPr>
            </w:pPr>
            <m:oMathPara>
              <m:oMath>
                <m:r>
                  <m:rPr>
                    <m:sty m:val="p"/>
                  </m:rPr>
                  <w:rPr>
                    <w:rFonts w:ascii="Cambria Math" w:hAnsi="Cambria Math"/>
                    <w:color w:val="000000"/>
                  </w:rPr>
                  <m:t>ΔT(K)</m:t>
                </m:r>
              </m:oMath>
            </m:oMathPara>
          </w:p>
        </w:tc>
        <w:tc>
          <w:tcPr>
            <w:tcW w:w="1248" w:type="dxa"/>
            <w:shd w:val="clear" w:color="auto" w:fill="auto"/>
            <w:vAlign w:val="center"/>
            <w:hideMark/>
          </w:tcPr>
          <w:p w14:paraId="7280D6A5" w14:textId="62273EB5" w:rsidR="00AB165E" w:rsidRPr="00735940" w:rsidRDefault="00AB165E" w:rsidP="00AB7712">
            <w:pPr>
              <w:rPr>
                <w:color w:val="000000"/>
              </w:rPr>
            </w:pPr>
            <w:r w:rsidRPr="00735940">
              <w:rPr>
                <w:color w:val="000000"/>
              </w:rPr>
              <w:t>γ</w:t>
            </w:r>
          </w:p>
        </w:tc>
      </w:tr>
      <w:tr w:rsidR="00963EFF" w:rsidRPr="00735940" w14:paraId="775B3596" w14:textId="77777777" w:rsidTr="008F500C">
        <w:trPr>
          <w:trHeight w:val="613"/>
        </w:trPr>
        <w:tc>
          <w:tcPr>
            <w:tcW w:w="1176" w:type="dxa"/>
            <w:shd w:val="clear" w:color="auto" w:fill="auto"/>
            <w:vAlign w:val="center"/>
            <w:hideMark/>
          </w:tcPr>
          <w:p w14:paraId="3C9DC266" w14:textId="77777777" w:rsidR="00AB165E" w:rsidRPr="00735940" w:rsidRDefault="00AB165E" w:rsidP="00AB7712">
            <w:pPr>
              <w:rPr>
                <w:color w:val="000000"/>
              </w:rPr>
            </w:pPr>
            <w:r w:rsidRPr="00735940">
              <w:rPr>
                <w:color w:val="000000"/>
              </w:rPr>
              <w:t>N</w:t>
            </w:r>
            <w:r w:rsidRPr="00735940">
              <w:rPr>
                <w:color w:val="000000"/>
                <w:vertAlign w:val="subscript"/>
              </w:rPr>
              <w:t>2</w:t>
            </w:r>
            <w:r w:rsidRPr="00735940">
              <w:rPr>
                <w:color w:val="000000"/>
              </w:rPr>
              <w:t xml:space="preserve"> trial 1</w:t>
            </w:r>
          </w:p>
        </w:tc>
        <w:tc>
          <w:tcPr>
            <w:tcW w:w="1434" w:type="dxa"/>
            <w:shd w:val="clear" w:color="auto" w:fill="auto"/>
            <w:vAlign w:val="center"/>
            <w:hideMark/>
          </w:tcPr>
          <w:p w14:paraId="0B3796D4" w14:textId="77777777" w:rsidR="00AB165E" w:rsidRPr="00735940" w:rsidRDefault="00AB165E" w:rsidP="00AB7712">
            <w:pPr>
              <w:rPr>
                <w:color w:val="000000"/>
              </w:rPr>
            </w:pPr>
            <w:r w:rsidRPr="00735940">
              <w:rPr>
                <w:color w:val="000000"/>
              </w:rPr>
              <w:t>1.66±0.01</w:t>
            </w:r>
          </w:p>
        </w:tc>
        <w:tc>
          <w:tcPr>
            <w:tcW w:w="1350" w:type="dxa"/>
            <w:shd w:val="clear" w:color="auto" w:fill="auto"/>
            <w:vAlign w:val="center"/>
            <w:hideMark/>
          </w:tcPr>
          <w:p w14:paraId="6EA1F956" w14:textId="77777777" w:rsidR="00AB165E" w:rsidRPr="00735940" w:rsidRDefault="00AB165E" w:rsidP="00AB7712">
            <w:pPr>
              <w:rPr>
                <w:color w:val="000000"/>
              </w:rPr>
            </w:pPr>
            <w:r w:rsidRPr="00735940">
              <w:rPr>
                <w:color w:val="000000"/>
              </w:rPr>
              <w:t>0.45±0.01</w:t>
            </w:r>
          </w:p>
        </w:tc>
        <w:tc>
          <w:tcPr>
            <w:tcW w:w="1530" w:type="dxa"/>
            <w:shd w:val="clear" w:color="auto" w:fill="auto"/>
            <w:vAlign w:val="center"/>
            <w:hideMark/>
          </w:tcPr>
          <w:p w14:paraId="56E74C88" w14:textId="77777777" w:rsidR="00AB165E" w:rsidRPr="00735940" w:rsidRDefault="00AB165E" w:rsidP="00AB7712">
            <w:pPr>
              <w:rPr>
                <w:color w:val="000000"/>
              </w:rPr>
            </w:pPr>
            <w:r w:rsidRPr="00735940">
              <w:rPr>
                <w:color w:val="000000"/>
              </w:rPr>
              <w:t>16.409±0.006</w:t>
            </w:r>
          </w:p>
        </w:tc>
        <w:tc>
          <w:tcPr>
            <w:tcW w:w="1530" w:type="dxa"/>
            <w:shd w:val="clear" w:color="auto" w:fill="auto"/>
            <w:vAlign w:val="center"/>
            <w:hideMark/>
          </w:tcPr>
          <w:p w14:paraId="026FD3A7" w14:textId="77777777" w:rsidR="00AB165E" w:rsidRPr="00735940" w:rsidRDefault="00AB165E" w:rsidP="008F500C">
            <w:pPr>
              <w:jc w:val="center"/>
              <w:rPr>
                <w:color w:val="000000"/>
              </w:rPr>
            </w:pPr>
            <w:r w:rsidRPr="00735940">
              <w:rPr>
                <w:color w:val="000000"/>
              </w:rPr>
              <w:t>15.20±0.02</w:t>
            </w:r>
          </w:p>
        </w:tc>
        <w:tc>
          <w:tcPr>
            <w:tcW w:w="1800" w:type="dxa"/>
            <w:vAlign w:val="center"/>
          </w:tcPr>
          <w:p w14:paraId="2E730380" w14:textId="3F89048F" w:rsidR="00AB165E" w:rsidRPr="00735940" w:rsidRDefault="00F010AC" w:rsidP="008F500C">
            <w:pPr>
              <w:jc w:val="center"/>
              <w:rPr>
                <w:color w:val="000000"/>
              </w:rPr>
            </w:pPr>
            <w:r>
              <w:rPr>
                <w:color w:val="000000"/>
              </w:rPr>
              <w:t>-29.8</w:t>
            </w:r>
            <w:r w:rsidR="008F500C" w:rsidRPr="00735940">
              <w:rPr>
                <w:color w:val="000000"/>
              </w:rPr>
              <w:t>±</w:t>
            </w:r>
            <w:r w:rsidR="008F500C">
              <w:rPr>
                <w:color w:val="000000"/>
              </w:rPr>
              <w:t>.2</w:t>
            </w:r>
          </w:p>
        </w:tc>
        <w:tc>
          <w:tcPr>
            <w:tcW w:w="1248" w:type="dxa"/>
            <w:shd w:val="clear" w:color="auto" w:fill="auto"/>
            <w:vAlign w:val="center"/>
            <w:hideMark/>
          </w:tcPr>
          <w:p w14:paraId="171763C5" w14:textId="3396777F" w:rsidR="00AB165E" w:rsidRPr="00735940" w:rsidRDefault="00AB165E" w:rsidP="008F500C">
            <w:pPr>
              <w:jc w:val="center"/>
              <w:rPr>
                <w:color w:val="000000"/>
              </w:rPr>
            </w:pPr>
            <w:r w:rsidRPr="00735940">
              <w:rPr>
                <w:color w:val="000000"/>
              </w:rPr>
              <w:t>1.39±0.08</w:t>
            </w:r>
          </w:p>
        </w:tc>
      </w:tr>
      <w:tr w:rsidR="00963EFF" w:rsidRPr="00735940" w14:paraId="1E2B20F8" w14:textId="77777777" w:rsidTr="008F500C">
        <w:trPr>
          <w:trHeight w:val="584"/>
        </w:trPr>
        <w:tc>
          <w:tcPr>
            <w:tcW w:w="1176" w:type="dxa"/>
            <w:shd w:val="clear" w:color="auto" w:fill="auto"/>
            <w:vAlign w:val="center"/>
            <w:hideMark/>
          </w:tcPr>
          <w:p w14:paraId="0123B51B" w14:textId="77777777" w:rsidR="00AB165E" w:rsidRPr="00735940" w:rsidRDefault="00AB165E" w:rsidP="00AB7712">
            <w:pPr>
              <w:rPr>
                <w:color w:val="000000"/>
              </w:rPr>
            </w:pPr>
            <w:r w:rsidRPr="00735940">
              <w:rPr>
                <w:color w:val="000000"/>
              </w:rPr>
              <w:t>N</w:t>
            </w:r>
            <w:r w:rsidRPr="00735940">
              <w:rPr>
                <w:color w:val="000000"/>
                <w:vertAlign w:val="subscript"/>
              </w:rPr>
              <w:t xml:space="preserve">2 </w:t>
            </w:r>
            <w:r w:rsidRPr="00735940">
              <w:rPr>
                <w:color w:val="000000"/>
              </w:rPr>
              <w:t>trial 2</w:t>
            </w:r>
          </w:p>
        </w:tc>
        <w:tc>
          <w:tcPr>
            <w:tcW w:w="1434" w:type="dxa"/>
            <w:shd w:val="clear" w:color="auto" w:fill="auto"/>
            <w:vAlign w:val="center"/>
            <w:hideMark/>
          </w:tcPr>
          <w:p w14:paraId="51E778CA" w14:textId="77777777" w:rsidR="00AB165E" w:rsidRPr="00735940" w:rsidRDefault="00AB165E" w:rsidP="00AB7712">
            <w:pPr>
              <w:rPr>
                <w:color w:val="000000"/>
              </w:rPr>
            </w:pPr>
            <w:r w:rsidRPr="00735940">
              <w:rPr>
                <w:color w:val="000000"/>
              </w:rPr>
              <w:t>1.64±0.01</w:t>
            </w:r>
          </w:p>
        </w:tc>
        <w:tc>
          <w:tcPr>
            <w:tcW w:w="1350" w:type="dxa"/>
            <w:shd w:val="clear" w:color="auto" w:fill="auto"/>
            <w:vAlign w:val="center"/>
            <w:hideMark/>
          </w:tcPr>
          <w:p w14:paraId="3811CF20" w14:textId="77777777" w:rsidR="00AB165E" w:rsidRPr="00735940" w:rsidRDefault="00AB165E" w:rsidP="00AB7712">
            <w:pPr>
              <w:rPr>
                <w:color w:val="000000"/>
              </w:rPr>
            </w:pPr>
            <w:r w:rsidRPr="00735940">
              <w:rPr>
                <w:color w:val="000000"/>
              </w:rPr>
              <w:t>0.43±0.01</w:t>
            </w:r>
          </w:p>
        </w:tc>
        <w:tc>
          <w:tcPr>
            <w:tcW w:w="1530" w:type="dxa"/>
            <w:shd w:val="clear" w:color="auto" w:fill="auto"/>
            <w:vAlign w:val="center"/>
            <w:hideMark/>
          </w:tcPr>
          <w:p w14:paraId="1E43D997" w14:textId="77777777" w:rsidR="00AB165E" w:rsidRPr="00735940" w:rsidRDefault="00AB165E" w:rsidP="00AB7712">
            <w:pPr>
              <w:rPr>
                <w:color w:val="000000"/>
              </w:rPr>
            </w:pPr>
            <w:r w:rsidRPr="00735940">
              <w:rPr>
                <w:color w:val="000000"/>
              </w:rPr>
              <w:t>16.389±0.006</w:t>
            </w:r>
          </w:p>
        </w:tc>
        <w:tc>
          <w:tcPr>
            <w:tcW w:w="1530" w:type="dxa"/>
            <w:shd w:val="clear" w:color="auto" w:fill="auto"/>
            <w:vAlign w:val="center"/>
            <w:hideMark/>
          </w:tcPr>
          <w:p w14:paraId="2BFF3CF7" w14:textId="77777777" w:rsidR="00AB165E" w:rsidRPr="00735940" w:rsidRDefault="00AB165E" w:rsidP="008F500C">
            <w:pPr>
              <w:jc w:val="center"/>
              <w:rPr>
                <w:color w:val="000000"/>
              </w:rPr>
            </w:pPr>
            <w:r w:rsidRPr="00735940">
              <w:rPr>
                <w:color w:val="000000"/>
              </w:rPr>
              <w:t>15.18±0.02</w:t>
            </w:r>
          </w:p>
        </w:tc>
        <w:tc>
          <w:tcPr>
            <w:tcW w:w="1800" w:type="dxa"/>
            <w:vAlign w:val="center"/>
          </w:tcPr>
          <w:p w14:paraId="559C3C56" w14:textId="0680C3F6" w:rsidR="00AB165E" w:rsidRPr="00735940" w:rsidRDefault="00F010AC" w:rsidP="008F500C">
            <w:pPr>
              <w:jc w:val="center"/>
              <w:rPr>
                <w:color w:val="000000"/>
              </w:rPr>
            </w:pPr>
            <w:r>
              <w:rPr>
                <w:color w:val="000000"/>
              </w:rPr>
              <w:t>-</w:t>
            </w:r>
            <w:r w:rsidR="008F500C">
              <w:rPr>
                <w:color w:val="000000"/>
              </w:rPr>
              <w:t>29.5</w:t>
            </w:r>
            <w:r w:rsidR="008F500C" w:rsidRPr="00735940">
              <w:rPr>
                <w:color w:val="000000"/>
              </w:rPr>
              <w:t>±</w:t>
            </w:r>
            <w:r w:rsidR="008F500C">
              <w:rPr>
                <w:color w:val="000000"/>
              </w:rPr>
              <w:t>.2</w:t>
            </w:r>
          </w:p>
        </w:tc>
        <w:tc>
          <w:tcPr>
            <w:tcW w:w="1248" w:type="dxa"/>
            <w:shd w:val="clear" w:color="auto" w:fill="auto"/>
            <w:vAlign w:val="center"/>
            <w:hideMark/>
          </w:tcPr>
          <w:p w14:paraId="79D291AA" w14:textId="0D5A2077" w:rsidR="00AB165E" w:rsidRPr="00735940" w:rsidRDefault="00AB165E" w:rsidP="008F500C">
            <w:pPr>
              <w:jc w:val="center"/>
              <w:rPr>
                <w:color w:val="000000"/>
              </w:rPr>
            </w:pPr>
            <w:r w:rsidRPr="00735940">
              <w:rPr>
                <w:color w:val="000000"/>
              </w:rPr>
              <w:t>1.37±0.08</w:t>
            </w:r>
          </w:p>
        </w:tc>
      </w:tr>
      <w:tr w:rsidR="00963EFF" w:rsidRPr="00735940" w14:paraId="18F38E81" w14:textId="77777777" w:rsidTr="008F500C">
        <w:trPr>
          <w:trHeight w:val="584"/>
        </w:trPr>
        <w:tc>
          <w:tcPr>
            <w:tcW w:w="1176" w:type="dxa"/>
            <w:shd w:val="clear" w:color="auto" w:fill="auto"/>
            <w:vAlign w:val="center"/>
            <w:hideMark/>
          </w:tcPr>
          <w:p w14:paraId="779C8775" w14:textId="77777777" w:rsidR="00AB165E" w:rsidRPr="00735940" w:rsidRDefault="00AB165E" w:rsidP="00AB7712">
            <w:pPr>
              <w:rPr>
                <w:color w:val="000000"/>
              </w:rPr>
            </w:pPr>
            <w:proofErr w:type="spellStart"/>
            <w:r w:rsidRPr="00735940">
              <w:rPr>
                <w:color w:val="000000"/>
              </w:rPr>
              <w:t>Ar</w:t>
            </w:r>
            <w:proofErr w:type="spellEnd"/>
            <w:r w:rsidRPr="00735940">
              <w:rPr>
                <w:color w:val="000000"/>
              </w:rPr>
              <w:t xml:space="preserve"> trial 1</w:t>
            </w:r>
          </w:p>
        </w:tc>
        <w:tc>
          <w:tcPr>
            <w:tcW w:w="1434" w:type="dxa"/>
            <w:shd w:val="clear" w:color="auto" w:fill="auto"/>
            <w:vAlign w:val="center"/>
            <w:hideMark/>
          </w:tcPr>
          <w:p w14:paraId="4B058AA4" w14:textId="77777777" w:rsidR="00AB165E" w:rsidRPr="00735940" w:rsidRDefault="00AB165E" w:rsidP="00AB7712">
            <w:pPr>
              <w:rPr>
                <w:color w:val="000000"/>
              </w:rPr>
            </w:pPr>
            <w:r w:rsidRPr="00735940">
              <w:rPr>
                <w:color w:val="000000"/>
              </w:rPr>
              <w:t>1.63±0.01</w:t>
            </w:r>
          </w:p>
        </w:tc>
        <w:tc>
          <w:tcPr>
            <w:tcW w:w="1350" w:type="dxa"/>
            <w:shd w:val="clear" w:color="auto" w:fill="auto"/>
            <w:vAlign w:val="center"/>
            <w:hideMark/>
          </w:tcPr>
          <w:p w14:paraId="2EA4883A" w14:textId="77777777" w:rsidR="00AB165E" w:rsidRPr="00735940" w:rsidRDefault="00AB165E" w:rsidP="00AB7712">
            <w:pPr>
              <w:rPr>
                <w:color w:val="000000"/>
              </w:rPr>
            </w:pPr>
            <w:r w:rsidRPr="00735940">
              <w:rPr>
                <w:color w:val="000000"/>
              </w:rPr>
              <w:t>0.41±0.01</w:t>
            </w:r>
          </w:p>
        </w:tc>
        <w:tc>
          <w:tcPr>
            <w:tcW w:w="1530" w:type="dxa"/>
            <w:shd w:val="clear" w:color="auto" w:fill="auto"/>
            <w:vAlign w:val="center"/>
            <w:hideMark/>
          </w:tcPr>
          <w:p w14:paraId="790AD9F4" w14:textId="77777777" w:rsidR="00AB165E" w:rsidRPr="00735940" w:rsidRDefault="00AB165E" w:rsidP="00AB7712">
            <w:pPr>
              <w:rPr>
                <w:color w:val="000000"/>
              </w:rPr>
            </w:pPr>
            <w:r w:rsidRPr="00735940">
              <w:rPr>
                <w:color w:val="000000"/>
              </w:rPr>
              <w:t>16.379±0.006</w:t>
            </w:r>
          </w:p>
        </w:tc>
        <w:tc>
          <w:tcPr>
            <w:tcW w:w="1530" w:type="dxa"/>
            <w:shd w:val="clear" w:color="auto" w:fill="auto"/>
            <w:vAlign w:val="center"/>
            <w:hideMark/>
          </w:tcPr>
          <w:p w14:paraId="30587162" w14:textId="77777777" w:rsidR="00AB165E" w:rsidRPr="00735940" w:rsidRDefault="00AB165E" w:rsidP="008F500C">
            <w:pPr>
              <w:jc w:val="center"/>
              <w:rPr>
                <w:color w:val="000000"/>
              </w:rPr>
            </w:pPr>
            <w:r w:rsidRPr="00735940">
              <w:rPr>
                <w:color w:val="000000"/>
              </w:rPr>
              <w:t>15.16±0.02</w:t>
            </w:r>
          </w:p>
        </w:tc>
        <w:tc>
          <w:tcPr>
            <w:tcW w:w="1800" w:type="dxa"/>
            <w:vAlign w:val="center"/>
          </w:tcPr>
          <w:p w14:paraId="1B998358" w14:textId="3062DCA6" w:rsidR="00AB165E" w:rsidRPr="00735940" w:rsidRDefault="008F500C" w:rsidP="008F500C">
            <w:pPr>
              <w:jc w:val="center"/>
              <w:rPr>
                <w:color w:val="000000"/>
              </w:rPr>
            </w:pPr>
            <w:r>
              <w:rPr>
                <w:color w:val="000000"/>
              </w:rPr>
              <w:t>-29.4</w:t>
            </w:r>
            <w:r w:rsidRPr="00735940">
              <w:rPr>
                <w:color w:val="000000"/>
              </w:rPr>
              <w:t>±</w:t>
            </w:r>
            <w:r>
              <w:rPr>
                <w:color w:val="000000"/>
              </w:rPr>
              <w:t>.2</w:t>
            </w:r>
          </w:p>
        </w:tc>
        <w:tc>
          <w:tcPr>
            <w:tcW w:w="1248" w:type="dxa"/>
            <w:shd w:val="clear" w:color="auto" w:fill="auto"/>
            <w:vAlign w:val="center"/>
            <w:hideMark/>
          </w:tcPr>
          <w:p w14:paraId="4C028D4D" w14:textId="65C3978A" w:rsidR="00AB165E" w:rsidRPr="00735940" w:rsidRDefault="00AB165E" w:rsidP="008F500C">
            <w:pPr>
              <w:jc w:val="center"/>
              <w:rPr>
                <w:color w:val="000000"/>
              </w:rPr>
            </w:pPr>
            <w:r w:rsidRPr="00735940">
              <w:rPr>
                <w:color w:val="000000"/>
              </w:rPr>
              <w:t>1.35±0.08</w:t>
            </w:r>
          </w:p>
        </w:tc>
      </w:tr>
      <w:tr w:rsidR="00963EFF" w:rsidRPr="00735940" w14:paraId="4A9E3628" w14:textId="77777777" w:rsidTr="008F500C">
        <w:trPr>
          <w:trHeight w:val="584"/>
        </w:trPr>
        <w:tc>
          <w:tcPr>
            <w:tcW w:w="1176" w:type="dxa"/>
            <w:shd w:val="clear" w:color="auto" w:fill="auto"/>
            <w:vAlign w:val="center"/>
            <w:hideMark/>
          </w:tcPr>
          <w:p w14:paraId="52AEA1EF" w14:textId="77777777" w:rsidR="00AB165E" w:rsidRPr="00735940" w:rsidRDefault="00AB165E" w:rsidP="00AB7712">
            <w:pPr>
              <w:rPr>
                <w:color w:val="000000"/>
              </w:rPr>
            </w:pPr>
            <w:proofErr w:type="spellStart"/>
            <w:r w:rsidRPr="00735940">
              <w:rPr>
                <w:color w:val="000000"/>
              </w:rPr>
              <w:t>Ar</w:t>
            </w:r>
            <w:proofErr w:type="spellEnd"/>
            <w:r w:rsidRPr="00735940">
              <w:rPr>
                <w:color w:val="000000"/>
              </w:rPr>
              <w:t xml:space="preserve"> trial 2</w:t>
            </w:r>
          </w:p>
        </w:tc>
        <w:tc>
          <w:tcPr>
            <w:tcW w:w="1434" w:type="dxa"/>
            <w:shd w:val="clear" w:color="auto" w:fill="auto"/>
            <w:vAlign w:val="center"/>
            <w:hideMark/>
          </w:tcPr>
          <w:p w14:paraId="10873B13" w14:textId="77777777" w:rsidR="00AB165E" w:rsidRPr="00735940" w:rsidRDefault="00AB165E" w:rsidP="00AB7712">
            <w:pPr>
              <w:rPr>
                <w:color w:val="000000"/>
              </w:rPr>
            </w:pPr>
            <w:r w:rsidRPr="00735940">
              <w:rPr>
                <w:color w:val="000000"/>
              </w:rPr>
              <w:t>1.71±0.01</w:t>
            </w:r>
          </w:p>
        </w:tc>
        <w:tc>
          <w:tcPr>
            <w:tcW w:w="1350" w:type="dxa"/>
            <w:shd w:val="clear" w:color="auto" w:fill="auto"/>
            <w:vAlign w:val="center"/>
            <w:hideMark/>
          </w:tcPr>
          <w:p w14:paraId="2EF1F4F0" w14:textId="77777777" w:rsidR="00AB165E" w:rsidRPr="00735940" w:rsidRDefault="00AB165E" w:rsidP="00AB7712">
            <w:pPr>
              <w:rPr>
                <w:color w:val="000000"/>
              </w:rPr>
            </w:pPr>
            <w:r w:rsidRPr="00735940">
              <w:rPr>
                <w:color w:val="000000"/>
              </w:rPr>
              <w:t>0.58±0.01</w:t>
            </w:r>
          </w:p>
        </w:tc>
        <w:tc>
          <w:tcPr>
            <w:tcW w:w="1530" w:type="dxa"/>
            <w:shd w:val="clear" w:color="auto" w:fill="auto"/>
            <w:vAlign w:val="center"/>
            <w:hideMark/>
          </w:tcPr>
          <w:p w14:paraId="134E5509" w14:textId="77777777" w:rsidR="00AB165E" w:rsidRPr="00735940" w:rsidRDefault="00AB165E" w:rsidP="00AB7712">
            <w:pPr>
              <w:rPr>
                <w:color w:val="000000"/>
              </w:rPr>
            </w:pPr>
            <w:r w:rsidRPr="00735940">
              <w:rPr>
                <w:color w:val="000000"/>
              </w:rPr>
              <w:t>16.459±0.006</w:t>
            </w:r>
          </w:p>
        </w:tc>
        <w:tc>
          <w:tcPr>
            <w:tcW w:w="1530" w:type="dxa"/>
            <w:shd w:val="clear" w:color="auto" w:fill="auto"/>
            <w:vAlign w:val="center"/>
            <w:hideMark/>
          </w:tcPr>
          <w:p w14:paraId="3F20F670" w14:textId="77777777" w:rsidR="00AB165E" w:rsidRPr="00735940" w:rsidRDefault="00AB165E" w:rsidP="008F500C">
            <w:pPr>
              <w:jc w:val="center"/>
              <w:rPr>
                <w:color w:val="000000"/>
              </w:rPr>
            </w:pPr>
            <w:r w:rsidRPr="00735940">
              <w:rPr>
                <w:color w:val="000000"/>
              </w:rPr>
              <w:t>15.33±0.02</w:t>
            </w:r>
          </w:p>
        </w:tc>
        <w:tc>
          <w:tcPr>
            <w:tcW w:w="1800" w:type="dxa"/>
            <w:vAlign w:val="center"/>
          </w:tcPr>
          <w:p w14:paraId="0AEEC826" w14:textId="4507B9B3" w:rsidR="00AB165E" w:rsidRPr="00735940" w:rsidRDefault="008F500C" w:rsidP="008F500C">
            <w:pPr>
              <w:jc w:val="center"/>
              <w:rPr>
                <w:color w:val="000000"/>
              </w:rPr>
            </w:pPr>
            <w:r>
              <w:rPr>
                <w:color w:val="000000"/>
              </w:rPr>
              <w:t>-30.7</w:t>
            </w:r>
            <w:r w:rsidRPr="00735940">
              <w:rPr>
                <w:color w:val="000000"/>
              </w:rPr>
              <w:t>±</w:t>
            </w:r>
            <w:r>
              <w:rPr>
                <w:color w:val="000000"/>
              </w:rPr>
              <w:t>.2</w:t>
            </w:r>
          </w:p>
        </w:tc>
        <w:tc>
          <w:tcPr>
            <w:tcW w:w="1248" w:type="dxa"/>
            <w:shd w:val="clear" w:color="auto" w:fill="auto"/>
            <w:vAlign w:val="center"/>
            <w:hideMark/>
          </w:tcPr>
          <w:p w14:paraId="6E9AFB0E" w14:textId="6B508442" w:rsidR="00AB165E" w:rsidRPr="00735940" w:rsidRDefault="00AB165E" w:rsidP="008F500C">
            <w:pPr>
              <w:jc w:val="center"/>
              <w:rPr>
                <w:color w:val="000000"/>
              </w:rPr>
            </w:pPr>
            <w:r w:rsidRPr="00735940">
              <w:rPr>
                <w:color w:val="000000"/>
              </w:rPr>
              <w:t>1.5</w:t>
            </w:r>
            <w:r>
              <w:rPr>
                <w:color w:val="000000"/>
              </w:rPr>
              <w:t>4</w:t>
            </w:r>
            <w:r w:rsidRPr="00735940">
              <w:rPr>
                <w:color w:val="000000"/>
              </w:rPr>
              <w:t>±0.1</w:t>
            </w:r>
            <w:r>
              <w:rPr>
                <w:color w:val="000000"/>
              </w:rPr>
              <w:t>0</w:t>
            </w:r>
          </w:p>
        </w:tc>
      </w:tr>
    </w:tbl>
    <w:p w14:paraId="2782CD74" w14:textId="601095E2" w:rsidR="00CB1500" w:rsidRPr="00735940" w:rsidRDefault="00CB1500" w:rsidP="0046774E">
      <w:pPr>
        <w:spacing w:line="360" w:lineRule="auto"/>
      </w:pPr>
    </w:p>
    <w:p w14:paraId="5D4DC205" w14:textId="77777777" w:rsidR="00D50C01" w:rsidRDefault="00D50C01" w:rsidP="000B5AB5">
      <w:pPr>
        <w:spacing w:after="240" w:line="360" w:lineRule="auto"/>
        <w:ind w:firstLine="720"/>
        <w:jc w:val="both"/>
        <w:rPr>
          <w:rFonts w:cs="Times New Roman"/>
        </w:rPr>
      </w:pPr>
    </w:p>
    <w:p w14:paraId="37F43490" w14:textId="70508D68" w:rsidR="00F6137D" w:rsidRPr="000B5AB5" w:rsidRDefault="007453F6" w:rsidP="000B5AB5">
      <w:pPr>
        <w:spacing w:after="240" w:line="360" w:lineRule="auto"/>
        <w:ind w:firstLine="720"/>
        <w:jc w:val="both"/>
        <w:rPr>
          <w:rFonts w:cs="Times New Roman"/>
        </w:rPr>
      </w:pPr>
      <w:r w:rsidRPr="000B5AB5">
        <w:rPr>
          <w:rFonts w:cs="Times New Roman"/>
        </w:rPr>
        <w:lastRenderedPageBreak/>
        <w:t xml:space="preserve">Our pressure gauge only measures </w:t>
      </w:r>
      <w:r w:rsidR="00FF2694" w:rsidRPr="000B5AB5">
        <w:rPr>
          <w:rFonts w:cs="Times New Roman"/>
        </w:rPr>
        <w:t>pressure difference,</w:t>
      </w:r>
      <w:r w:rsidRPr="000B5AB5">
        <w:rPr>
          <w:rFonts w:cs="Times New Roman"/>
        </w:rPr>
        <w:t xml:space="preserve"> so we have to add atmospheric pressure to our gauge measurements to get the </w:t>
      </w:r>
      <w:r w:rsidR="00FF2694" w:rsidRPr="000B5AB5">
        <w:rPr>
          <w:rFonts w:cs="Times New Roman"/>
        </w:rPr>
        <w:t xml:space="preserve">absolute </w:t>
      </w:r>
      <w:r w:rsidRPr="000B5AB5">
        <w:rPr>
          <w:rFonts w:cs="Times New Roman"/>
        </w:rPr>
        <w:t>pressure. In other words, t</w:t>
      </w:r>
      <w:r w:rsidR="008F080F" w:rsidRPr="000B5AB5">
        <w:rPr>
          <w:rFonts w:cs="Times New Roman"/>
        </w:rPr>
        <w:t>he calculation of P</w:t>
      </w:r>
      <w:r w:rsidR="008F080F" w:rsidRPr="000B5AB5">
        <w:rPr>
          <w:rFonts w:cs="Times New Roman"/>
          <w:vertAlign w:val="subscript"/>
        </w:rPr>
        <w:t>1</w:t>
      </w:r>
      <w:r w:rsidR="008F080F" w:rsidRPr="000B5AB5">
        <w:rPr>
          <w:rFonts w:cs="Times New Roman"/>
        </w:rPr>
        <w:t xml:space="preserve"> and P</w:t>
      </w:r>
      <w:r w:rsidR="008F080F" w:rsidRPr="000B5AB5">
        <w:rPr>
          <w:rFonts w:cs="Times New Roman"/>
          <w:vertAlign w:val="subscript"/>
        </w:rPr>
        <w:t>3</w:t>
      </w:r>
      <w:r w:rsidR="008F080F" w:rsidRPr="000B5AB5">
        <w:rPr>
          <w:rFonts w:cs="Times New Roman"/>
        </w:rPr>
        <w:t xml:space="preserve"> are relative to the measurement of P</w:t>
      </w:r>
      <w:r w:rsidR="008F080F" w:rsidRPr="000B5AB5">
        <w:rPr>
          <w:rFonts w:cs="Times New Roman"/>
          <w:vertAlign w:val="subscript"/>
        </w:rPr>
        <w:t>2</w:t>
      </w:r>
      <w:r w:rsidR="008F080F" w:rsidRPr="000B5AB5">
        <w:rPr>
          <w:rFonts w:cs="Times New Roman"/>
        </w:rPr>
        <w:t>. This value was</w:t>
      </w:r>
      <w:r w:rsidR="00F6137D" w:rsidRPr="000B5AB5">
        <w:rPr>
          <w:rFonts w:cs="Times New Roman"/>
        </w:rPr>
        <w:t xml:space="preserve"> 30.03±0.0</w:t>
      </w:r>
      <w:r w:rsidR="00203EB3" w:rsidRPr="000B5AB5">
        <w:rPr>
          <w:rFonts w:cs="Times New Roman"/>
        </w:rPr>
        <w:t>1</w:t>
      </w:r>
      <w:r w:rsidR="00F6137D" w:rsidRPr="000B5AB5">
        <w:rPr>
          <w:rFonts w:cs="Times New Roman"/>
        </w:rPr>
        <w:t>inHg</w:t>
      </w:r>
      <w:r w:rsidR="00FF2694" w:rsidRPr="000B5AB5">
        <w:rPr>
          <w:rFonts w:cs="Times New Roman"/>
        </w:rPr>
        <w:t xml:space="preserve"> as acquired from IBM’s Weather Data API at 2:00 PM, August 31, 2022</w:t>
      </w:r>
      <w:r w:rsidR="00F6137D" w:rsidRPr="000B5AB5">
        <w:rPr>
          <w:rFonts w:cs="Times New Roman"/>
        </w:rPr>
        <w:t>.</w:t>
      </w:r>
      <w:r w:rsidR="00A62515" w:rsidRPr="000B5AB5">
        <w:rPr>
          <w:rFonts w:cs="Times New Roman"/>
          <w:vertAlign w:val="superscript"/>
        </w:rPr>
        <w:t xml:space="preserve"> [</w:t>
      </w:r>
      <w:r w:rsidR="006B2DB3" w:rsidRPr="000B5AB5">
        <w:rPr>
          <w:rFonts w:cs="Times New Roman"/>
          <w:vertAlign w:val="superscript"/>
        </w:rPr>
        <w:t>1</w:t>
      </w:r>
      <w:r w:rsidR="00A62515" w:rsidRPr="000B5AB5">
        <w:rPr>
          <w:rFonts w:cs="Times New Roman"/>
          <w:vertAlign w:val="superscript"/>
        </w:rPr>
        <w:t>]</w:t>
      </w:r>
      <w:r w:rsidR="00F6137D" w:rsidRPr="000B5AB5">
        <w:rPr>
          <w:rFonts w:cs="Times New Roman"/>
        </w:rPr>
        <w:t xml:space="preserve"> The conversion </w:t>
      </w:r>
      <w:r w:rsidR="00B14A96" w:rsidRPr="000B5AB5">
        <w:rPr>
          <w:rFonts w:cs="Times New Roman"/>
        </w:rPr>
        <w:t xml:space="preserve">from inHg to </w:t>
      </w:r>
      <w:r w:rsidR="00F6137D" w:rsidRPr="000B5AB5">
        <w:rPr>
          <w:rFonts w:cs="Times New Roman"/>
        </w:rPr>
        <w:t>psi went as follows:</w:t>
      </w:r>
    </w:p>
    <w:p w14:paraId="73A33471" w14:textId="5A21248C" w:rsidR="00BC59DC" w:rsidRPr="00414F63" w:rsidRDefault="00735940" w:rsidP="00414F63">
      <w:pPr>
        <w:spacing w:after="240" w:line="360" w:lineRule="auto"/>
        <w:rPr>
          <w:rFonts w:eastAsiaTheme="minorEastAsia" w:cs="Times New Roman"/>
          <w:iCs/>
        </w:rPr>
      </w:pPr>
      <m:oMathPara>
        <m:oMath>
          <m:r>
            <w:rPr>
              <w:rFonts w:ascii="Cambria Math" w:hAnsi="Cambria Math" w:cs="Times New Roman"/>
            </w:rPr>
            <m:t>30.03±0.01</m:t>
          </m:r>
          <m:r>
            <m:rPr>
              <m:sty m:val="p"/>
            </m:rPr>
            <w:rPr>
              <w:rFonts w:ascii="Cambria Math" w:hAnsi="Cambria Math" w:cs="Times New Roman"/>
            </w:rPr>
            <m:t xml:space="preserve">inHg </m:t>
          </m:r>
          <m:d>
            <m:dPr>
              <m:ctrlPr>
                <w:rPr>
                  <w:rFonts w:ascii="Cambria Math" w:hAnsi="Cambria Math" w:cs="Times New Roman"/>
                  <w:iCs/>
                </w:rPr>
              </m:ctrlPr>
            </m:dPr>
            <m:e>
              <m:f>
                <m:fPr>
                  <m:ctrlPr>
                    <w:rPr>
                      <w:rFonts w:ascii="Cambria Math" w:hAnsi="Cambria Math" w:cs="Times New Roman"/>
                      <w:iCs/>
                    </w:rPr>
                  </m:ctrlPr>
                </m:fPr>
                <m:num>
                  <m:r>
                    <m:rPr>
                      <m:sty m:val="p"/>
                    </m:rPr>
                    <w:rPr>
                      <w:rFonts w:ascii="Cambria Math" w:hAnsi="Cambria Math" w:cs="Times New Roman"/>
                    </w:rPr>
                    <m:t>1psi</m:t>
                  </m:r>
                </m:num>
                <m:den>
                  <m:r>
                    <m:rPr>
                      <m:sty m:val="p"/>
                    </m:rPr>
                    <w:rPr>
                      <w:rFonts w:ascii="Cambria Math" w:hAnsi="Cambria Math" w:cs="Times New Roman"/>
                    </w:rPr>
                    <m:t>2.03602inHg</m:t>
                  </m:r>
                </m:den>
              </m:f>
            </m:e>
          </m:d>
          <m:r>
            <m:rPr>
              <m:sty m:val="p"/>
            </m:rPr>
            <w:rPr>
              <w:rFonts w:ascii="Cambria Math" w:hAnsi="Cambria Math" w:cs="Times New Roman"/>
            </w:rPr>
            <m:t>=14.749±0.005psi</m:t>
          </m:r>
        </m:oMath>
      </m:oMathPara>
    </w:p>
    <w:p w14:paraId="12810F60" w14:textId="05E38CB9" w:rsidR="00F1658D" w:rsidRPr="00C900B3" w:rsidRDefault="00DE66A4" w:rsidP="00C900B3">
      <w:pPr>
        <w:pStyle w:val="Heading1"/>
      </w:pPr>
      <w:r w:rsidRPr="00C900B3">
        <w:t>Conclusion:</w:t>
      </w:r>
    </w:p>
    <w:p w14:paraId="19B1BBEA" w14:textId="40DC27A7" w:rsidR="00B4499A" w:rsidRDefault="003C2C68" w:rsidP="00414F63">
      <w:pPr>
        <w:spacing w:line="360" w:lineRule="auto"/>
        <w:jc w:val="both"/>
        <w:rPr>
          <w:rFonts w:eastAsiaTheme="minorEastAsia" w:cs="Times New Roman"/>
        </w:rPr>
      </w:pPr>
      <w:r>
        <w:rPr>
          <w:rFonts w:cs="Times New Roman"/>
        </w:rPr>
        <w:tab/>
        <w:t xml:space="preserve">In this experiment, the heat capacity ratio is calculated from the pressures before adiabatic expansion and after thermal expansion of nitrogen and argon. </w:t>
      </w:r>
      <w:r w:rsidR="001D57B7">
        <w:rPr>
          <w:rFonts w:cs="Times New Roman"/>
        </w:rPr>
        <w:t xml:space="preserve">Our ratios were calculated to be </w:t>
      </w:r>
      <m:oMath>
        <m:sSub>
          <m:sSubPr>
            <m:ctrlPr>
              <w:rPr>
                <w:rFonts w:ascii="Cambria Math" w:hAnsi="Cambria Math" w:cs="Times New Roman"/>
                <w:i/>
              </w:rPr>
            </m:ctrlPr>
          </m:sSubPr>
          <m:e>
            <m:r>
              <w:rPr>
                <w:rFonts w:ascii="Cambria Math" w:hAnsi="Cambria Math" w:cs="Times New Roman"/>
              </w:rPr>
              <m:t>γ</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ub>
        </m:sSub>
        <m:r>
          <w:rPr>
            <w:rFonts w:ascii="Cambria Math" w:hAnsi="Cambria Math" w:cs="Times New Roman"/>
          </w:rPr>
          <m:t>=</m:t>
        </m:r>
        <m:r>
          <w:rPr>
            <w:rFonts w:ascii="Cambria Math" w:eastAsiaTheme="minorEastAsia" w:hAnsi="Cambria Math" w:cs="Times New Roman"/>
          </w:rPr>
          <m:t>1.38±0.11</m:t>
        </m:r>
      </m:oMath>
      <w:r w:rsidR="001D57B7">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Ar</m:t>
            </m:r>
          </m:sub>
        </m:sSub>
        <m:r>
          <w:rPr>
            <w:rFonts w:ascii="Cambria Math" w:eastAsiaTheme="minorEastAsia" w:hAnsi="Cambria Math" w:cs="Times New Roman"/>
          </w:rPr>
          <m:t>=1.49±0.95</m:t>
        </m:r>
      </m:oMath>
      <w:r w:rsidR="001D57B7">
        <w:rPr>
          <w:rFonts w:eastAsiaTheme="minorEastAsia" w:cs="Times New Roman"/>
        </w:rPr>
        <w:t xml:space="preserve"> </w:t>
      </w:r>
    </w:p>
    <w:p w14:paraId="0A952AF1" w14:textId="77777777" w:rsidR="000B5AB5" w:rsidRPr="005414E4" w:rsidRDefault="000B5AB5" w:rsidP="00043186">
      <w:pPr>
        <w:spacing w:line="360" w:lineRule="auto"/>
        <w:jc w:val="both"/>
        <w:rPr>
          <w:rFonts w:cs="Times New Roman"/>
        </w:rPr>
      </w:pPr>
    </w:p>
    <w:p w14:paraId="7C23D644" w14:textId="4C7A77F5" w:rsidR="002E4EDD" w:rsidRPr="00C900B3" w:rsidRDefault="00DE66A4" w:rsidP="00043186">
      <w:pPr>
        <w:tabs>
          <w:tab w:val="left" w:pos="4090"/>
        </w:tabs>
        <w:spacing w:line="360" w:lineRule="auto"/>
        <w:jc w:val="both"/>
        <w:rPr>
          <w:rFonts w:cs="Times New Roman"/>
          <w:sz w:val="32"/>
          <w:szCs w:val="32"/>
        </w:rPr>
      </w:pPr>
      <w:r w:rsidRPr="00C900B3">
        <w:rPr>
          <w:rStyle w:val="Heading1Char"/>
        </w:rPr>
        <w:t>Safety:</w:t>
      </w:r>
      <w:r w:rsidRPr="00C900B3">
        <w:rPr>
          <w:rFonts w:cs="Times New Roman"/>
          <w:sz w:val="32"/>
          <w:szCs w:val="32"/>
        </w:rPr>
        <w:t xml:space="preserve"> </w:t>
      </w:r>
    </w:p>
    <w:p w14:paraId="6E43BD84" w14:textId="25D0EB83" w:rsidR="00F1658D" w:rsidRPr="00735940" w:rsidRDefault="00BF0EC2" w:rsidP="00414F63">
      <w:pPr>
        <w:tabs>
          <w:tab w:val="left" w:pos="720"/>
        </w:tabs>
        <w:spacing w:line="360" w:lineRule="auto"/>
        <w:jc w:val="both"/>
        <w:rPr>
          <w:rFonts w:cs="Times New Roman"/>
        </w:rPr>
      </w:pPr>
      <w:r w:rsidRPr="00043186">
        <w:rPr>
          <w:rFonts w:cs="Times New Roman"/>
          <w:bdr w:val="single" w:sz="4" w:space="0" w:color="FFFFFF" w:themeColor="background1"/>
        </w:rPr>
        <w:tab/>
      </w:r>
      <w:r w:rsidR="007A5321" w:rsidRPr="00043186">
        <w:rPr>
          <w:rFonts w:cs="Times New Roman"/>
        </w:rPr>
        <w:t xml:space="preserve">Despite being quite </w:t>
      </w:r>
      <w:r w:rsidR="00D107C3" w:rsidRPr="00043186">
        <w:rPr>
          <w:rFonts w:cs="Times New Roman"/>
        </w:rPr>
        <w:t>abundant</w:t>
      </w:r>
      <w:r w:rsidR="00690A81" w:rsidRPr="00043186">
        <w:rPr>
          <w:rFonts w:cs="Times New Roman"/>
        </w:rPr>
        <w:t xml:space="preserve"> in </w:t>
      </w:r>
    </w:p>
    <w:p w14:paraId="0C705506" w14:textId="04F44017" w:rsidR="00D832C1" w:rsidRDefault="00D832C1">
      <w:pPr>
        <w:rPr>
          <w:rFonts w:eastAsiaTheme="majorEastAsia" w:cstheme="majorBidi"/>
          <w:color w:val="2F5496" w:themeColor="accent1" w:themeShade="BF"/>
          <w:sz w:val="32"/>
          <w:szCs w:val="32"/>
        </w:rPr>
      </w:pPr>
    </w:p>
    <w:p w14:paraId="37CA5C2D" w14:textId="76C55C3C" w:rsidR="00F1658D" w:rsidRDefault="00DE66A4" w:rsidP="00C900B3">
      <w:pPr>
        <w:pStyle w:val="Heading1"/>
      </w:pPr>
      <w:r w:rsidRPr="00735940">
        <w:t>References:</w:t>
      </w:r>
    </w:p>
    <w:p w14:paraId="770DB43B" w14:textId="197761FB" w:rsidR="00EC0040" w:rsidRDefault="00EC0040" w:rsidP="00DB747D">
      <w:pPr>
        <w:pStyle w:val="ListParagraph"/>
        <w:numPr>
          <w:ilvl w:val="0"/>
          <w:numId w:val="1"/>
        </w:numPr>
        <w:spacing w:line="360" w:lineRule="auto"/>
      </w:pPr>
      <w:r w:rsidRPr="00DB747D">
        <w:rPr>
          <w:i/>
          <w:iCs/>
        </w:rPr>
        <w:t>Site-Based Observations - v1</w:t>
      </w:r>
      <w:r>
        <w:t xml:space="preserve">; The Weather Company: Atlanta, GA, 2022. </w:t>
      </w:r>
      <w:hyperlink r:id="rId9" w:history="1">
        <w:r w:rsidR="00DB747D" w:rsidRPr="00BB4474">
          <w:rPr>
            <w:rStyle w:val="Hyperlink"/>
          </w:rPr>
          <w:t>https://ibm.co/v1cSBO</w:t>
        </w:r>
      </w:hyperlink>
      <w:r>
        <w:t xml:space="preserve"> (accessed August 31, 2022) </w:t>
      </w:r>
    </w:p>
    <w:p w14:paraId="13F68C17" w14:textId="3203365A" w:rsidR="0075364E" w:rsidRPr="0075364E" w:rsidRDefault="00222AB4" w:rsidP="00DB747D">
      <w:pPr>
        <w:pStyle w:val="ListParagraph"/>
        <w:numPr>
          <w:ilvl w:val="0"/>
          <w:numId w:val="1"/>
        </w:numPr>
        <w:spacing w:line="360" w:lineRule="auto"/>
        <w:rPr>
          <w:i/>
          <w:iCs/>
        </w:rPr>
      </w:pPr>
      <w:proofErr w:type="spellStart"/>
      <w:r>
        <w:t>Branca</w:t>
      </w:r>
      <w:proofErr w:type="spellEnd"/>
      <w:r>
        <w:t xml:space="preserve"> M.; </w:t>
      </w:r>
      <w:proofErr w:type="spellStart"/>
      <w:r>
        <w:t>Soletta</w:t>
      </w:r>
      <w:proofErr w:type="spellEnd"/>
      <w:r>
        <w:t xml:space="preserve"> I., </w:t>
      </w:r>
      <w:r w:rsidRPr="00222AB4">
        <w:t>“</w:t>
      </w:r>
      <w:r w:rsidR="0075364E" w:rsidRPr="00222AB4">
        <w:t>C</w:t>
      </w:r>
      <w:r w:rsidR="0075364E" w:rsidRPr="00222AB4">
        <w:rPr>
          <w:vertAlign w:val="subscript"/>
        </w:rPr>
        <w:t>P</w:t>
      </w:r>
      <w:r w:rsidR="0075364E" w:rsidRPr="00222AB4">
        <w:t xml:space="preserve"> / C</w:t>
      </w:r>
      <w:r w:rsidR="0075364E" w:rsidRPr="00222AB4">
        <w:rPr>
          <w:vertAlign w:val="subscript"/>
        </w:rPr>
        <w:t>V</w:t>
      </w:r>
      <w:r w:rsidR="0075364E" w:rsidRPr="00222AB4">
        <w:t xml:space="preserve"> Ratios Measured by the Sound Velocity Method W Using Calculator-Based Laboratory Technology</w:t>
      </w:r>
      <w:r w:rsidRPr="00222AB4">
        <w:t>”,</w:t>
      </w:r>
      <w:r>
        <w:t xml:space="preserve"> </w:t>
      </w:r>
      <w:r w:rsidRPr="00222AB4">
        <w:rPr>
          <w:i/>
          <w:iCs/>
        </w:rPr>
        <w:t>J. Chem. Educ.</w:t>
      </w:r>
      <w:r w:rsidRPr="00222AB4">
        <w:t xml:space="preserve"> </w:t>
      </w:r>
      <w:r w:rsidRPr="00222AB4">
        <w:rPr>
          <w:b/>
          <w:bCs/>
        </w:rPr>
        <w:t>84</w:t>
      </w:r>
      <w:r w:rsidRPr="00222AB4">
        <w:t>, 3, 462</w:t>
      </w:r>
      <w:r w:rsidR="00A0065D">
        <w:t xml:space="preserve"> (2007)</w:t>
      </w:r>
      <w:r>
        <w:t xml:space="preserve">. </w:t>
      </w:r>
      <w:proofErr w:type="spellStart"/>
      <w:r>
        <w:t>doi</w:t>
      </w:r>
      <w:proofErr w:type="spellEnd"/>
      <w:r>
        <w:t xml:space="preserve">: </w:t>
      </w:r>
      <w:r w:rsidRPr="00222AB4">
        <w:t>10.1021/ed084p462</w:t>
      </w:r>
    </w:p>
    <w:p w14:paraId="6527B3DB" w14:textId="30127317" w:rsidR="00DB747D" w:rsidRPr="00DB747D" w:rsidRDefault="00BC29BA" w:rsidP="00DB747D">
      <w:pPr>
        <w:pStyle w:val="ListParagraph"/>
        <w:numPr>
          <w:ilvl w:val="0"/>
          <w:numId w:val="1"/>
        </w:numPr>
        <w:spacing w:line="360" w:lineRule="auto"/>
        <w:rPr>
          <w:rFonts w:cs="Times New Roman"/>
        </w:rPr>
      </w:pPr>
      <w:r w:rsidRPr="00DB747D">
        <w:rPr>
          <w:rFonts w:cs="Times New Roman"/>
          <w:i/>
          <w:iCs/>
        </w:rPr>
        <w:t xml:space="preserve">Nitrogen; </w:t>
      </w:r>
      <w:r w:rsidRPr="00DB747D">
        <w:rPr>
          <w:rFonts w:cs="Times New Roman"/>
        </w:rPr>
        <w:t xml:space="preserve">MSDS No. 001040; Airgas: Radnor, PA, August, 31, 2021. </w:t>
      </w:r>
      <w:hyperlink r:id="rId10" w:history="1">
        <w:r w:rsidR="009C2304" w:rsidRPr="00DB747D">
          <w:rPr>
            <w:rStyle w:val="Hyperlink"/>
            <w:rFonts w:cs="Times New Roman"/>
          </w:rPr>
          <w:t>https://www.airgas.com/msds/001040.pdf</w:t>
        </w:r>
      </w:hyperlink>
      <w:r w:rsidR="009C2304" w:rsidRPr="00DB747D">
        <w:rPr>
          <w:rFonts w:cs="Times New Roman"/>
        </w:rPr>
        <w:t xml:space="preserve"> (accessed 9/27/22)</w:t>
      </w:r>
    </w:p>
    <w:p w14:paraId="60C4B239" w14:textId="60AEF806" w:rsidR="00F7609D" w:rsidRPr="00DB747D" w:rsidRDefault="00F7609D" w:rsidP="00DB747D">
      <w:pPr>
        <w:pStyle w:val="ListParagraph"/>
        <w:numPr>
          <w:ilvl w:val="0"/>
          <w:numId w:val="1"/>
        </w:numPr>
        <w:spacing w:line="360" w:lineRule="auto"/>
        <w:rPr>
          <w:rFonts w:cs="Times New Roman"/>
        </w:rPr>
      </w:pPr>
      <w:r w:rsidRPr="00DB747D">
        <w:rPr>
          <w:rFonts w:cs="Times New Roman"/>
          <w:i/>
          <w:iCs/>
        </w:rPr>
        <w:t xml:space="preserve">Argon; </w:t>
      </w:r>
      <w:r w:rsidRPr="00DB747D">
        <w:rPr>
          <w:rFonts w:cs="Times New Roman"/>
        </w:rPr>
        <w:t xml:space="preserve">MSDS No. 001004; Airgas: Radnor, PA, January, 5, 2021. </w:t>
      </w:r>
      <w:hyperlink r:id="rId11" w:history="1">
        <w:r w:rsidRPr="00DB747D">
          <w:rPr>
            <w:rStyle w:val="Hyperlink"/>
            <w:rFonts w:cs="Times New Roman"/>
          </w:rPr>
          <w:t>https://www.airgas.com/msds/001004.pdf</w:t>
        </w:r>
      </w:hyperlink>
      <w:r w:rsidRPr="00DB747D">
        <w:rPr>
          <w:rFonts w:cs="Times New Roman"/>
        </w:rPr>
        <w:t xml:space="preserve"> (accessed 9/27/22)</w:t>
      </w:r>
    </w:p>
    <w:p w14:paraId="32E04505" w14:textId="77777777" w:rsidR="00F7609D" w:rsidRPr="00735940" w:rsidRDefault="00F7609D" w:rsidP="0046774E">
      <w:pPr>
        <w:spacing w:line="360" w:lineRule="auto"/>
        <w:rPr>
          <w:rFonts w:cs="Times New Roman"/>
        </w:rPr>
      </w:pPr>
    </w:p>
    <w:p w14:paraId="7F94D9DC" w14:textId="77777777" w:rsidR="00F7609D" w:rsidRPr="00735940" w:rsidRDefault="00F7609D" w:rsidP="0046774E">
      <w:pPr>
        <w:spacing w:line="360" w:lineRule="auto"/>
        <w:rPr>
          <w:rFonts w:cs="Times New Roman"/>
        </w:rPr>
      </w:pPr>
    </w:p>
    <w:p w14:paraId="24D9B516" w14:textId="572B87F0" w:rsidR="00616694" w:rsidRPr="00414F63" w:rsidRDefault="00596D7F" w:rsidP="00414F63">
      <w:pPr>
        <w:pStyle w:val="Heading1"/>
      </w:pPr>
      <w:r w:rsidRPr="00735940">
        <w:t>Calculations</w:t>
      </w:r>
      <w:r w:rsidR="000D4035" w:rsidRPr="00735940">
        <w:t>:</w:t>
      </w:r>
    </w:p>
    <w:sectPr w:rsidR="00616694" w:rsidRPr="00414F63" w:rsidSect="00832DF7">
      <w:headerReference w:type="default" r:id="rId12"/>
      <w:footerReference w:type="default" r:id="rId13"/>
      <w:type w:val="continuous"/>
      <w:pgSz w:w="12240" w:h="15840"/>
      <w:pgMar w:top="1080" w:right="1080" w:bottom="1080" w:left="108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ED1D" w14:textId="77777777" w:rsidR="006C5E15" w:rsidRDefault="006C5E15">
      <w:r>
        <w:separator/>
      </w:r>
    </w:p>
  </w:endnote>
  <w:endnote w:type="continuationSeparator" w:id="0">
    <w:p w14:paraId="2F95CEC3" w14:textId="77777777" w:rsidR="006C5E15" w:rsidRDefault="006C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321208"/>
      <w:docPartObj>
        <w:docPartGallery w:val="Page Numbers (Bottom of Page)"/>
        <w:docPartUnique/>
      </w:docPartObj>
    </w:sdtPr>
    <w:sdtContent>
      <w:p w14:paraId="785E7041" w14:textId="77777777" w:rsidR="00F1658D" w:rsidRDefault="00DE66A4">
        <w:pPr>
          <w:pStyle w:val="Footer"/>
        </w:pPr>
        <w:r>
          <w:fldChar w:fldCharType="begin"/>
        </w:r>
        <w:r>
          <w:instrText xml:space="preserve"> PAGE </w:instrText>
        </w:r>
        <w:r>
          <w:fldChar w:fldCharType="separate"/>
        </w:r>
        <w:r>
          <w:t>5</w:t>
        </w:r>
        <w:r>
          <w:fldChar w:fldCharType="end"/>
        </w:r>
      </w:p>
    </w:sdtContent>
  </w:sdt>
  <w:p w14:paraId="5A056EF0" w14:textId="77777777" w:rsidR="00F1658D" w:rsidRDefault="00F16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9E26" w14:textId="77777777" w:rsidR="006C5E15" w:rsidRDefault="006C5E15">
      <w:r>
        <w:separator/>
      </w:r>
    </w:p>
  </w:footnote>
  <w:footnote w:type="continuationSeparator" w:id="0">
    <w:p w14:paraId="7275E092" w14:textId="77777777" w:rsidR="006C5E15" w:rsidRDefault="006C5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F716" w14:textId="77777777" w:rsidR="00F1658D" w:rsidRDefault="00F1658D">
    <w:pPr>
      <w:pStyle w:val="Header"/>
    </w:pPr>
  </w:p>
  <w:p w14:paraId="2833DE10" w14:textId="77777777" w:rsidR="00F1658D" w:rsidRDefault="00F1658D">
    <w:pPr>
      <w:pStyle w:val="Header"/>
    </w:pPr>
  </w:p>
  <w:p w14:paraId="68DAC1D5" w14:textId="77777777" w:rsidR="00F1658D" w:rsidRDefault="00F16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C0C"/>
    <w:multiLevelType w:val="hybridMultilevel"/>
    <w:tmpl w:val="09763246"/>
    <w:lvl w:ilvl="0" w:tplc="E26013B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1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8D"/>
    <w:rsid w:val="00006D56"/>
    <w:rsid w:val="000115F4"/>
    <w:rsid w:val="00011EFB"/>
    <w:rsid w:val="00014F6B"/>
    <w:rsid w:val="00015E7B"/>
    <w:rsid w:val="000247CA"/>
    <w:rsid w:val="00043186"/>
    <w:rsid w:val="00052E1B"/>
    <w:rsid w:val="000615E3"/>
    <w:rsid w:val="00070463"/>
    <w:rsid w:val="000712E5"/>
    <w:rsid w:val="00091660"/>
    <w:rsid w:val="000B5AB5"/>
    <w:rsid w:val="000C4412"/>
    <w:rsid w:val="000C4939"/>
    <w:rsid w:val="000D24FD"/>
    <w:rsid w:val="000D4035"/>
    <w:rsid w:val="000D5FB8"/>
    <w:rsid w:val="000D7601"/>
    <w:rsid w:val="000E476F"/>
    <w:rsid w:val="000F6BAD"/>
    <w:rsid w:val="0010071F"/>
    <w:rsid w:val="001058D0"/>
    <w:rsid w:val="00105E67"/>
    <w:rsid w:val="0010734F"/>
    <w:rsid w:val="00117606"/>
    <w:rsid w:val="0012541A"/>
    <w:rsid w:val="00131889"/>
    <w:rsid w:val="00143454"/>
    <w:rsid w:val="00195FB2"/>
    <w:rsid w:val="001C2C49"/>
    <w:rsid w:val="001C460D"/>
    <w:rsid w:val="001D3BAE"/>
    <w:rsid w:val="001D4D19"/>
    <w:rsid w:val="001D57B7"/>
    <w:rsid w:val="001F69F3"/>
    <w:rsid w:val="00203EB3"/>
    <w:rsid w:val="0020569E"/>
    <w:rsid w:val="002069BA"/>
    <w:rsid w:val="00222AB4"/>
    <w:rsid w:val="00240D65"/>
    <w:rsid w:val="00253FEA"/>
    <w:rsid w:val="00260722"/>
    <w:rsid w:val="00262A2C"/>
    <w:rsid w:val="002900EC"/>
    <w:rsid w:val="002A0A81"/>
    <w:rsid w:val="002A50D4"/>
    <w:rsid w:val="002B0145"/>
    <w:rsid w:val="002B42A5"/>
    <w:rsid w:val="002E4EDD"/>
    <w:rsid w:val="002E738E"/>
    <w:rsid w:val="002F0D7C"/>
    <w:rsid w:val="002F4AFB"/>
    <w:rsid w:val="00301B7F"/>
    <w:rsid w:val="00307B0A"/>
    <w:rsid w:val="003176AD"/>
    <w:rsid w:val="0035496E"/>
    <w:rsid w:val="003843D8"/>
    <w:rsid w:val="00384530"/>
    <w:rsid w:val="003B51ED"/>
    <w:rsid w:val="003B7198"/>
    <w:rsid w:val="003C0B02"/>
    <w:rsid w:val="003C1C5C"/>
    <w:rsid w:val="003C2C68"/>
    <w:rsid w:val="003C5489"/>
    <w:rsid w:val="003E2084"/>
    <w:rsid w:val="003E5C49"/>
    <w:rsid w:val="00406B1A"/>
    <w:rsid w:val="00414F63"/>
    <w:rsid w:val="0041565D"/>
    <w:rsid w:val="00417791"/>
    <w:rsid w:val="00433E49"/>
    <w:rsid w:val="00435F96"/>
    <w:rsid w:val="004410FB"/>
    <w:rsid w:val="00462AEC"/>
    <w:rsid w:val="00463135"/>
    <w:rsid w:val="0046774E"/>
    <w:rsid w:val="00471BC0"/>
    <w:rsid w:val="004733A9"/>
    <w:rsid w:val="004772C8"/>
    <w:rsid w:val="004878C4"/>
    <w:rsid w:val="004910BF"/>
    <w:rsid w:val="00496BCD"/>
    <w:rsid w:val="004A60B0"/>
    <w:rsid w:val="004B777C"/>
    <w:rsid w:val="004D5259"/>
    <w:rsid w:val="004E43F5"/>
    <w:rsid w:val="005414E4"/>
    <w:rsid w:val="00541A86"/>
    <w:rsid w:val="0056455D"/>
    <w:rsid w:val="00564ADD"/>
    <w:rsid w:val="00566F64"/>
    <w:rsid w:val="00596C1B"/>
    <w:rsid w:val="00596D7F"/>
    <w:rsid w:val="005A37F3"/>
    <w:rsid w:val="005B6F10"/>
    <w:rsid w:val="005C1460"/>
    <w:rsid w:val="005E4FE0"/>
    <w:rsid w:val="005F3C67"/>
    <w:rsid w:val="005F7672"/>
    <w:rsid w:val="00603138"/>
    <w:rsid w:val="00616694"/>
    <w:rsid w:val="00635D55"/>
    <w:rsid w:val="0064794C"/>
    <w:rsid w:val="00666CA8"/>
    <w:rsid w:val="00673304"/>
    <w:rsid w:val="00680B48"/>
    <w:rsid w:val="006846DF"/>
    <w:rsid w:val="00690A81"/>
    <w:rsid w:val="006922A2"/>
    <w:rsid w:val="006B2DB3"/>
    <w:rsid w:val="006C5E15"/>
    <w:rsid w:val="006E2942"/>
    <w:rsid w:val="006F3618"/>
    <w:rsid w:val="006F5DD9"/>
    <w:rsid w:val="00701AD2"/>
    <w:rsid w:val="00720294"/>
    <w:rsid w:val="00735940"/>
    <w:rsid w:val="00735D8E"/>
    <w:rsid w:val="007363FB"/>
    <w:rsid w:val="00740014"/>
    <w:rsid w:val="007453F6"/>
    <w:rsid w:val="0075364E"/>
    <w:rsid w:val="00754E16"/>
    <w:rsid w:val="00760675"/>
    <w:rsid w:val="00783415"/>
    <w:rsid w:val="007A5321"/>
    <w:rsid w:val="007C09A4"/>
    <w:rsid w:val="007E1BAB"/>
    <w:rsid w:val="007F4668"/>
    <w:rsid w:val="008019B8"/>
    <w:rsid w:val="00807203"/>
    <w:rsid w:val="008141CE"/>
    <w:rsid w:val="008170B6"/>
    <w:rsid w:val="00820A0D"/>
    <w:rsid w:val="00832DF7"/>
    <w:rsid w:val="00834FAB"/>
    <w:rsid w:val="00851DF7"/>
    <w:rsid w:val="00852A4F"/>
    <w:rsid w:val="00871255"/>
    <w:rsid w:val="00875044"/>
    <w:rsid w:val="008C1502"/>
    <w:rsid w:val="008D100C"/>
    <w:rsid w:val="008D12ED"/>
    <w:rsid w:val="008F080F"/>
    <w:rsid w:val="008F500C"/>
    <w:rsid w:val="00915FE9"/>
    <w:rsid w:val="00920B46"/>
    <w:rsid w:val="00960D49"/>
    <w:rsid w:val="0096330C"/>
    <w:rsid w:val="00963EFF"/>
    <w:rsid w:val="00981FA6"/>
    <w:rsid w:val="009B3B63"/>
    <w:rsid w:val="009B4CD8"/>
    <w:rsid w:val="009C2304"/>
    <w:rsid w:val="009D5315"/>
    <w:rsid w:val="00A0065D"/>
    <w:rsid w:val="00A06ABA"/>
    <w:rsid w:val="00A12070"/>
    <w:rsid w:val="00A12D92"/>
    <w:rsid w:val="00A2664A"/>
    <w:rsid w:val="00A35ACD"/>
    <w:rsid w:val="00A42F14"/>
    <w:rsid w:val="00A527D8"/>
    <w:rsid w:val="00A619F1"/>
    <w:rsid w:val="00A61D4A"/>
    <w:rsid w:val="00A62515"/>
    <w:rsid w:val="00A81FA1"/>
    <w:rsid w:val="00A97FFE"/>
    <w:rsid w:val="00AB10D5"/>
    <w:rsid w:val="00AB165E"/>
    <w:rsid w:val="00AB275F"/>
    <w:rsid w:val="00AB7BB8"/>
    <w:rsid w:val="00AC66EB"/>
    <w:rsid w:val="00B072EB"/>
    <w:rsid w:val="00B14A96"/>
    <w:rsid w:val="00B24609"/>
    <w:rsid w:val="00B249C1"/>
    <w:rsid w:val="00B34076"/>
    <w:rsid w:val="00B37E72"/>
    <w:rsid w:val="00B4499A"/>
    <w:rsid w:val="00B46DC4"/>
    <w:rsid w:val="00B51F88"/>
    <w:rsid w:val="00B67077"/>
    <w:rsid w:val="00B679E0"/>
    <w:rsid w:val="00B73195"/>
    <w:rsid w:val="00B81287"/>
    <w:rsid w:val="00B918AE"/>
    <w:rsid w:val="00B93078"/>
    <w:rsid w:val="00BC04B5"/>
    <w:rsid w:val="00BC29BA"/>
    <w:rsid w:val="00BC59DC"/>
    <w:rsid w:val="00BE5425"/>
    <w:rsid w:val="00BF0EC2"/>
    <w:rsid w:val="00C10AC7"/>
    <w:rsid w:val="00C122D2"/>
    <w:rsid w:val="00C41915"/>
    <w:rsid w:val="00C5369A"/>
    <w:rsid w:val="00C80971"/>
    <w:rsid w:val="00C900B3"/>
    <w:rsid w:val="00C97EEE"/>
    <w:rsid w:val="00CA1109"/>
    <w:rsid w:val="00CA7AAA"/>
    <w:rsid w:val="00CB09CA"/>
    <w:rsid w:val="00CB1500"/>
    <w:rsid w:val="00CC3B41"/>
    <w:rsid w:val="00CF603A"/>
    <w:rsid w:val="00D04963"/>
    <w:rsid w:val="00D0503A"/>
    <w:rsid w:val="00D0616F"/>
    <w:rsid w:val="00D107C3"/>
    <w:rsid w:val="00D115F6"/>
    <w:rsid w:val="00D132C1"/>
    <w:rsid w:val="00D15734"/>
    <w:rsid w:val="00D407FA"/>
    <w:rsid w:val="00D50C01"/>
    <w:rsid w:val="00D512B1"/>
    <w:rsid w:val="00D575E0"/>
    <w:rsid w:val="00D57BEE"/>
    <w:rsid w:val="00D7357D"/>
    <w:rsid w:val="00D74862"/>
    <w:rsid w:val="00D832C1"/>
    <w:rsid w:val="00D92CA6"/>
    <w:rsid w:val="00D9653B"/>
    <w:rsid w:val="00DA567E"/>
    <w:rsid w:val="00DB4338"/>
    <w:rsid w:val="00DB747D"/>
    <w:rsid w:val="00DB751E"/>
    <w:rsid w:val="00DC7D77"/>
    <w:rsid w:val="00DE66A4"/>
    <w:rsid w:val="00E10CD3"/>
    <w:rsid w:val="00E17A64"/>
    <w:rsid w:val="00E417AF"/>
    <w:rsid w:val="00E53C18"/>
    <w:rsid w:val="00E61D12"/>
    <w:rsid w:val="00E63C87"/>
    <w:rsid w:val="00E951A1"/>
    <w:rsid w:val="00EA11BB"/>
    <w:rsid w:val="00EC0040"/>
    <w:rsid w:val="00F010AC"/>
    <w:rsid w:val="00F02BC2"/>
    <w:rsid w:val="00F12920"/>
    <w:rsid w:val="00F1658D"/>
    <w:rsid w:val="00F26FA3"/>
    <w:rsid w:val="00F3325A"/>
    <w:rsid w:val="00F3671A"/>
    <w:rsid w:val="00F501CD"/>
    <w:rsid w:val="00F6137D"/>
    <w:rsid w:val="00F6488C"/>
    <w:rsid w:val="00F6490E"/>
    <w:rsid w:val="00F7609D"/>
    <w:rsid w:val="00FA7EE8"/>
    <w:rsid w:val="00FC27A5"/>
    <w:rsid w:val="00FD3AF5"/>
    <w:rsid w:val="00FF26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C44"/>
  <w15:docId w15:val="{3113E8F7-71BA-4631-B8A9-5E71AC9D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9DC"/>
    <w:rPr>
      <w:rFonts w:ascii="Times New Roman" w:hAnsi="Times New Roman"/>
    </w:rPr>
  </w:style>
  <w:style w:type="paragraph" w:styleId="Heading1">
    <w:name w:val="heading 1"/>
    <w:basedOn w:val="Normal"/>
    <w:next w:val="Normal"/>
    <w:link w:val="Heading1Char"/>
    <w:autoRedefine/>
    <w:uiPriority w:val="9"/>
    <w:qFormat/>
    <w:rsid w:val="00C900B3"/>
    <w:pPr>
      <w:keepNext/>
      <w:keepLines/>
      <w:spacing w:line="360" w:lineRule="auto"/>
      <w:jc w:val="both"/>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F3510"/>
  </w:style>
  <w:style w:type="character" w:customStyle="1" w:styleId="FooterChar">
    <w:name w:val="Footer Char"/>
    <w:basedOn w:val="DefaultParagraphFont"/>
    <w:link w:val="Footer"/>
    <w:uiPriority w:val="99"/>
    <w:qFormat/>
    <w:rsid w:val="00BF351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qFormat/>
    <w:rsid w:val="001D4D19"/>
    <w:pPr>
      <w:keepNext/>
      <w:suppressLineNumbers/>
      <w:spacing w:before="120" w:after="120"/>
      <w:jc w:val="center"/>
    </w:pPr>
    <w:rPr>
      <w:rFonts w:cs="Lohit Devanagari"/>
      <w:bCs/>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F3510"/>
    <w:pPr>
      <w:tabs>
        <w:tab w:val="center" w:pos="4680"/>
        <w:tab w:val="right" w:pos="9360"/>
      </w:tabs>
    </w:pPr>
  </w:style>
  <w:style w:type="paragraph" w:styleId="Footer">
    <w:name w:val="footer"/>
    <w:basedOn w:val="Normal"/>
    <w:link w:val="FooterChar"/>
    <w:uiPriority w:val="99"/>
    <w:unhideWhenUsed/>
    <w:rsid w:val="00BF3510"/>
    <w:pPr>
      <w:tabs>
        <w:tab w:val="center" w:pos="4680"/>
        <w:tab w:val="right" w:pos="9360"/>
      </w:tabs>
    </w:pPr>
  </w:style>
  <w:style w:type="table" w:styleId="TableGrid">
    <w:name w:val="Table Grid"/>
    <w:basedOn w:val="TableNormal"/>
    <w:uiPriority w:val="39"/>
    <w:rsid w:val="00F50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DF7"/>
    <w:rPr>
      <w:color w:val="808080"/>
    </w:rPr>
  </w:style>
  <w:style w:type="character" w:customStyle="1" w:styleId="Heading1Char">
    <w:name w:val="Heading 1 Char"/>
    <w:basedOn w:val="DefaultParagraphFont"/>
    <w:link w:val="Heading1"/>
    <w:uiPriority w:val="9"/>
    <w:rsid w:val="00C900B3"/>
    <w:rPr>
      <w:rFonts w:ascii="Times New Roman" w:eastAsiaTheme="majorEastAsia" w:hAnsi="Times New Roman" w:cstheme="majorBidi"/>
      <w:color w:val="2F5496" w:themeColor="accent1" w:themeShade="BF"/>
      <w:sz w:val="32"/>
      <w:szCs w:val="32"/>
    </w:rPr>
  </w:style>
  <w:style w:type="table" w:styleId="TableGridLight">
    <w:name w:val="Grid Table Light"/>
    <w:basedOn w:val="TableNormal"/>
    <w:uiPriority w:val="40"/>
    <w:rsid w:val="008019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019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F0EC2"/>
    <w:pPr>
      <w:ind w:left="720"/>
      <w:contextualSpacing/>
    </w:pPr>
  </w:style>
  <w:style w:type="character" w:styleId="Hyperlink">
    <w:name w:val="Hyperlink"/>
    <w:basedOn w:val="DefaultParagraphFont"/>
    <w:uiPriority w:val="99"/>
    <w:unhideWhenUsed/>
    <w:rsid w:val="009C2304"/>
    <w:rPr>
      <w:color w:val="0563C1" w:themeColor="hyperlink"/>
      <w:u w:val="single"/>
    </w:rPr>
  </w:style>
  <w:style w:type="character" w:styleId="UnresolvedMention">
    <w:name w:val="Unresolved Mention"/>
    <w:basedOn w:val="DefaultParagraphFont"/>
    <w:uiPriority w:val="99"/>
    <w:semiHidden/>
    <w:unhideWhenUsed/>
    <w:rsid w:val="009C2304"/>
    <w:rPr>
      <w:color w:val="605E5C"/>
      <w:shd w:val="clear" w:color="auto" w:fill="E1DFDD"/>
    </w:rPr>
  </w:style>
  <w:style w:type="character" w:styleId="FollowedHyperlink">
    <w:name w:val="FollowedHyperlink"/>
    <w:basedOn w:val="DefaultParagraphFont"/>
    <w:uiPriority w:val="99"/>
    <w:semiHidden/>
    <w:unhideWhenUsed/>
    <w:rsid w:val="001C460D"/>
    <w:rPr>
      <w:color w:val="954F72" w:themeColor="followedHyperlink"/>
      <w:u w:val="single"/>
    </w:rPr>
  </w:style>
  <w:style w:type="paragraph" w:styleId="EndnoteText">
    <w:name w:val="endnote text"/>
    <w:basedOn w:val="Normal"/>
    <w:link w:val="EndnoteTextChar"/>
    <w:uiPriority w:val="99"/>
    <w:semiHidden/>
    <w:unhideWhenUsed/>
    <w:rsid w:val="00963EFF"/>
    <w:rPr>
      <w:sz w:val="20"/>
      <w:szCs w:val="20"/>
    </w:rPr>
  </w:style>
  <w:style w:type="character" w:customStyle="1" w:styleId="EndnoteTextChar">
    <w:name w:val="Endnote Text Char"/>
    <w:basedOn w:val="DefaultParagraphFont"/>
    <w:link w:val="EndnoteText"/>
    <w:uiPriority w:val="99"/>
    <w:semiHidden/>
    <w:rsid w:val="00963EFF"/>
    <w:rPr>
      <w:rFonts w:ascii="Times New Roman" w:hAnsi="Times New Roman"/>
      <w:sz w:val="20"/>
      <w:szCs w:val="20"/>
    </w:rPr>
  </w:style>
  <w:style w:type="character" w:styleId="EndnoteReference">
    <w:name w:val="endnote reference"/>
    <w:basedOn w:val="DefaultParagraphFont"/>
    <w:uiPriority w:val="99"/>
    <w:semiHidden/>
    <w:unhideWhenUsed/>
    <w:rsid w:val="00963E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14932">
      <w:bodyDiv w:val="1"/>
      <w:marLeft w:val="0"/>
      <w:marRight w:val="0"/>
      <w:marTop w:val="0"/>
      <w:marBottom w:val="0"/>
      <w:divBdr>
        <w:top w:val="none" w:sz="0" w:space="0" w:color="auto"/>
        <w:left w:val="none" w:sz="0" w:space="0" w:color="auto"/>
        <w:bottom w:val="none" w:sz="0" w:space="0" w:color="auto"/>
        <w:right w:val="none" w:sz="0" w:space="0" w:color="auto"/>
      </w:divBdr>
    </w:div>
    <w:div w:id="1649281254">
      <w:bodyDiv w:val="1"/>
      <w:marLeft w:val="0"/>
      <w:marRight w:val="0"/>
      <w:marTop w:val="0"/>
      <w:marBottom w:val="0"/>
      <w:divBdr>
        <w:top w:val="none" w:sz="0" w:space="0" w:color="auto"/>
        <w:left w:val="none" w:sz="0" w:space="0" w:color="auto"/>
        <w:bottom w:val="none" w:sz="0" w:space="0" w:color="auto"/>
        <w:right w:val="none" w:sz="0" w:space="0" w:color="auto"/>
      </w:divBdr>
    </w:div>
    <w:div w:id="2019766586">
      <w:bodyDiv w:val="1"/>
      <w:marLeft w:val="0"/>
      <w:marRight w:val="0"/>
      <w:marTop w:val="0"/>
      <w:marBottom w:val="0"/>
      <w:divBdr>
        <w:top w:val="none" w:sz="0" w:space="0" w:color="auto"/>
        <w:left w:val="none" w:sz="0" w:space="0" w:color="auto"/>
        <w:bottom w:val="none" w:sz="0" w:space="0" w:color="auto"/>
        <w:right w:val="none" w:sz="0" w:space="0" w:color="auto"/>
      </w:divBdr>
    </w:div>
    <w:div w:id="2086218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rgas.com/msds/00100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irgas.com/msds/001040.pdf" TargetMode="External"/><Relationship Id="rId4" Type="http://schemas.openxmlformats.org/officeDocument/2006/relationships/settings" Target="settings.xml"/><Relationship Id="rId9" Type="http://schemas.openxmlformats.org/officeDocument/2006/relationships/hyperlink" Target="https://ibm.co/v1cSB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E16E-5195-4E8B-8832-9455357E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Gillispie, Nathan</dc:creator>
  <dc:description/>
  <cp:lastModifiedBy>Nathan Gillispie</cp:lastModifiedBy>
  <cp:revision>189</cp:revision>
  <cp:lastPrinted>2022-09-28T04:53:00Z</cp:lastPrinted>
  <dcterms:created xsi:type="dcterms:W3CDTF">2022-09-06T19:13:00Z</dcterms:created>
  <dcterms:modified xsi:type="dcterms:W3CDTF">2022-09-28T18:43:00Z</dcterms:modified>
  <dc:language>en-US</dc:language>
</cp:coreProperties>
</file>