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A46C4D" w14:textId="41BF5FB9" w:rsidR="00C104F4" w:rsidRPr="00612ABD" w:rsidRDefault="00562712" w:rsidP="00030113">
      <w:pPr>
        <w:spacing w:line="240" w:lineRule="auto"/>
        <w:jc w:val="center"/>
        <w:rPr>
          <w:rFonts w:ascii="ABeeZee" w:eastAsia="ABeeZee" w:hAnsi="ABeeZee" w:cs="ABeeZee"/>
          <w:b/>
          <w:bCs/>
          <w:sz w:val="28"/>
          <w:szCs w:val="28"/>
        </w:rPr>
      </w:pPr>
      <w:r w:rsidRPr="00612ABD">
        <w:rPr>
          <w:rFonts w:ascii="ABeeZee" w:eastAsia="ABeeZee" w:hAnsi="ABeeZee" w:cs="ABeeZee"/>
          <w:sz w:val="28"/>
          <w:szCs w:val="28"/>
        </w:rPr>
        <w:t xml:space="preserve">     </w:t>
      </w:r>
      <w:r w:rsidR="000F4703">
        <w:rPr>
          <w:rFonts w:ascii="ABeeZee" w:eastAsia="ABeeZee" w:hAnsi="ABeeZee" w:cs="ABeeZee"/>
          <w:b/>
          <w:bCs/>
          <w:sz w:val="28"/>
          <w:szCs w:val="28"/>
        </w:rPr>
        <w:t>Defining Sexuality</w:t>
      </w:r>
      <w:r w:rsidRPr="00612ABD">
        <w:rPr>
          <w:rFonts w:ascii="ABeeZee" w:eastAsia="ABeeZee" w:hAnsi="ABeeZee" w:cs="ABeeZee"/>
          <w:b/>
          <w:bCs/>
          <w:sz w:val="28"/>
          <w:szCs w:val="28"/>
        </w:rPr>
        <w:t>: Evidence Log</w:t>
      </w:r>
    </w:p>
    <w:p w14:paraId="14F764D2" w14:textId="24E6520F" w:rsidR="00EE20C4" w:rsidRDefault="00612ABD" w:rsidP="00030113">
      <w:pPr>
        <w:spacing w:line="240" w:lineRule="auto"/>
        <w:rPr>
          <w:rFonts w:ascii="ABeeZee" w:eastAsia="ABeeZee" w:hAnsi="ABeeZee" w:cs="ABeeZee"/>
          <w:b/>
          <w:sz w:val="24"/>
          <w:szCs w:val="24"/>
        </w:rPr>
      </w:pPr>
      <w:r w:rsidRPr="00EE20C4">
        <w:rPr>
          <w:rFonts w:ascii="ABeeZee" w:eastAsia="ABeeZee" w:hAnsi="ABeeZee" w:cs="ABeeZee"/>
          <w:b/>
          <w:sz w:val="24"/>
          <w:szCs w:val="24"/>
          <w:u w:val="single"/>
        </w:rPr>
        <w:t xml:space="preserve">Before </w:t>
      </w:r>
      <w:r w:rsidR="000F4703" w:rsidRPr="00EE20C4">
        <w:rPr>
          <w:rFonts w:ascii="ABeeZee" w:eastAsia="ABeeZee" w:hAnsi="ABeeZee" w:cs="ABeeZee"/>
          <w:b/>
          <w:sz w:val="24"/>
          <w:szCs w:val="24"/>
          <w:u w:val="single"/>
        </w:rPr>
        <w:t>reading</w:t>
      </w:r>
      <w:r w:rsidR="00EE20C4">
        <w:rPr>
          <w:rFonts w:ascii="ABeeZee" w:eastAsia="ABeeZee" w:hAnsi="ABeeZee" w:cs="ABeeZee"/>
          <w:b/>
          <w:sz w:val="24"/>
          <w:szCs w:val="24"/>
          <w:u w:val="single"/>
        </w:rPr>
        <w:t xml:space="preserve"> </w:t>
      </w:r>
      <w:r w:rsidR="00F13E02">
        <w:rPr>
          <w:rFonts w:ascii="ABeeZee" w:eastAsia="ABeeZee" w:hAnsi="ABeeZee" w:cs="ABeeZee"/>
          <w:b/>
          <w:sz w:val="24"/>
          <w:szCs w:val="24"/>
          <w:u w:val="single"/>
        </w:rPr>
        <w:t>Foucault</w:t>
      </w:r>
      <w:r w:rsidR="00EE20C4">
        <w:rPr>
          <w:rFonts w:ascii="ABeeZee" w:eastAsia="ABeeZee" w:hAnsi="ABeeZee" w:cs="ABeeZee"/>
          <w:b/>
          <w:sz w:val="24"/>
          <w:szCs w:val="24"/>
          <w:u w:val="single"/>
        </w:rPr>
        <w:t>’s “</w:t>
      </w:r>
      <w:r w:rsidR="00F13E02">
        <w:rPr>
          <w:rFonts w:ascii="ABeeZee" w:eastAsia="ABeeZee" w:hAnsi="ABeeZee" w:cs="ABeeZee"/>
          <w:b/>
          <w:sz w:val="24"/>
          <w:szCs w:val="24"/>
          <w:u w:val="single"/>
        </w:rPr>
        <w:t>We Other Victorians</w:t>
      </w:r>
      <w:r w:rsidR="00EE20C4">
        <w:rPr>
          <w:rFonts w:ascii="ABeeZee" w:eastAsia="ABeeZee" w:hAnsi="ABeeZee" w:cs="ABeeZee"/>
          <w:b/>
          <w:sz w:val="24"/>
          <w:szCs w:val="24"/>
          <w:u w:val="single"/>
        </w:rPr>
        <w:t>”</w:t>
      </w:r>
      <w:r w:rsidR="00CA233C" w:rsidRPr="00EE20C4">
        <w:rPr>
          <w:rFonts w:ascii="ABeeZee" w:eastAsia="ABeeZee" w:hAnsi="ABeeZee" w:cs="ABeeZee"/>
          <w:b/>
          <w:sz w:val="24"/>
          <w:szCs w:val="24"/>
          <w:u w:val="single"/>
        </w:rPr>
        <w:t xml:space="preserve">, </w:t>
      </w:r>
      <w:r w:rsidR="00EE20C4">
        <w:rPr>
          <w:rFonts w:ascii="ABeeZee" w:eastAsia="ABeeZee" w:hAnsi="ABeeZee" w:cs="ABeeZee"/>
          <w:b/>
          <w:sz w:val="24"/>
          <w:szCs w:val="24"/>
          <w:u w:val="single"/>
        </w:rPr>
        <w:t>write down your initial perception, position, or thoughts on</w:t>
      </w:r>
      <w:r w:rsidRPr="00EE20C4">
        <w:rPr>
          <w:rFonts w:ascii="ABeeZee" w:eastAsia="ABeeZee" w:hAnsi="ABeeZee" w:cs="ABeeZee"/>
          <w:b/>
          <w:sz w:val="24"/>
          <w:szCs w:val="24"/>
          <w:u w:val="single"/>
        </w:rPr>
        <w:t xml:space="preserve"> the following</w:t>
      </w:r>
      <w:r w:rsidR="00AB49EC" w:rsidRPr="00EE20C4">
        <w:rPr>
          <w:rFonts w:ascii="ABeeZee" w:eastAsia="ABeeZee" w:hAnsi="ABeeZee" w:cs="ABeeZee"/>
          <w:b/>
          <w:sz w:val="24"/>
          <w:szCs w:val="24"/>
          <w:u w:val="single"/>
        </w:rPr>
        <w:t xml:space="preserve"> e</w:t>
      </w:r>
      <w:r w:rsidRPr="00EE20C4">
        <w:rPr>
          <w:rFonts w:ascii="ABeeZee" w:eastAsia="ABeeZee" w:hAnsi="ABeeZee" w:cs="ABeeZee"/>
          <w:b/>
          <w:sz w:val="24"/>
          <w:szCs w:val="24"/>
          <w:u w:val="single"/>
        </w:rPr>
        <w:t xml:space="preserve">ssential </w:t>
      </w:r>
      <w:r w:rsidR="00AB49EC" w:rsidRPr="00EE20C4">
        <w:rPr>
          <w:rFonts w:ascii="ABeeZee" w:eastAsia="ABeeZee" w:hAnsi="ABeeZee" w:cs="ABeeZee"/>
          <w:b/>
          <w:sz w:val="24"/>
          <w:szCs w:val="24"/>
          <w:u w:val="single"/>
        </w:rPr>
        <w:t>q</w:t>
      </w:r>
      <w:r w:rsidRPr="00EE20C4">
        <w:rPr>
          <w:rFonts w:ascii="ABeeZee" w:eastAsia="ABeeZee" w:hAnsi="ABeeZee" w:cs="ABeeZee"/>
          <w:b/>
          <w:sz w:val="24"/>
          <w:szCs w:val="24"/>
          <w:u w:val="single"/>
        </w:rPr>
        <w:t>uestion</w:t>
      </w:r>
      <w:r w:rsidRPr="00EE20C4">
        <w:rPr>
          <w:rFonts w:ascii="ABeeZee" w:eastAsia="ABeeZee" w:hAnsi="ABeeZee" w:cs="ABeeZee"/>
          <w:b/>
          <w:sz w:val="24"/>
          <w:szCs w:val="24"/>
        </w:rPr>
        <w:t>:</w:t>
      </w:r>
      <w:r w:rsidR="00EE20C4" w:rsidRPr="00EE20C4">
        <w:rPr>
          <w:rFonts w:ascii="ABeeZee" w:eastAsia="ABeeZee" w:hAnsi="ABeeZee" w:cs="ABeeZee"/>
          <w:b/>
          <w:sz w:val="24"/>
          <w:szCs w:val="24"/>
        </w:rPr>
        <w:t xml:space="preserve"> </w:t>
      </w:r>
    </w:p>
    <w:p w14:paraId="066FBCB3" w14:textId="57518538" w:rsidR="00EE20C4" w:rsidRPr="00EE20C4" w:rsidRDefault="00EE20C4" w:rsidP="00EE20C4">
      <w:pPr>
        <w:pStyle w:val="ListParagraph"/>
        <w:numPr>
          <w:ilvl w:val="0"/>
          <w:numId w:val="3"/>
        </w:numPr>
        <w:spacing w:line="240" w:lineRule="auto"/>
        <w:rPr>
          <w:rFonts w:ascii="ABeeZee" w:eastAsia="ABeeZee" w:hAnsi="ABeeZee" w:cs="ABeeZee"/>
          <w:b/>
          <w:sz w:val="24"/>
          <w:szCs w:val="24"/>
        </w:rPr>
      </w:pPr>
      <w:r w:rsidRPr="00EE20C4">
        <w:rPr>
          <w:rFonts w:ascii="ABeeZee" w:eastAsia="ABeeZee" w:hAnsi="ABeeZee" w:cs="ABeeZee"/>
          <w:b/>
          <w:sz w:val="24"/>
          <w:szCs w:val="24"/>
        </w:rPr>
        <w:t>What is the relationship between individual</w:t>
      </w:r>
      <w:r>
        <w:rPr>
          <w:rFonts w:ascii="ABeeZee" w:eastAsia="ABeeZee" w:hAnsi="ABeeZee" w:cs="ABeeZee"/>
          <w:b/>
          <w:sz w:val="24"/>
          <w:szCs w:val="24"/>
        </w:rPr>
        <w:t xml:space="preserve"> </w:t>
      </w:r>
      <w:r w:rsidRPr="00EE20C4">
        <w:rPr>
          <w:rFonts w:ascii="ABeeZee" w:eastAsia="ABeeZee" w:hAnsi="ABeeZee" w:cs="ABeeZee"/>
          <w:b/>
          <w:sz w:val="24"/>
          <w:szCs w:val="24"/>
        </w:rPr>
        <w:t>identity and assigned identity?</w:t>
      </w:r>
    </w:p>
    <w:p w14:paraId="37BB8DBF" w14:textId="6575CA1A" w:rsidR="00C104F4" w:rsidRPr="00EE20C4" w:rsidRDefault="00C104F4" w:rsidP="00EE20C4">
      <w:pPr>
        <w:spacing w:line="240" w:lineRule="auto"/>
        <w:ind w:left="360"/>
        <w:rPr>
          <w:rFonts w:ascii="ABeeZee" w:eastAsia="ABeeZee" w:hAnsi="ABeeZee" w:cs="ABeeZee"/>
          <w:b/>
          <w:sz w:val="28"/>
          <w:szCs w:val="28"/>
        </w:rPr>
      </w:pPr>
    </w:p>
    <w:p w14:paraId="4184C851" w14:textId="76FB9F59" w:rsidR="00EE20C4" w:rsidRDefault="00EE20C4" w:rsidP="00EE20C4">
      <w:pPr>
        <w:spacing w:line="360" w:lineRule="auto"/>
        <w:ind w:left="720"/>
        <w:rPr>
          <w:rFonts w:ascii="ABeeZee" w:eastAsia="ABeeZee" w:hAnsi="ABeeZee" w:cs="ABeeZee"/>
          <w:b/>
          <w:sz w:val="28"/>
          <w:szCs w:val="28"/>
        </w:rPr>
      </w:pPr>
    </w:p>
    <w:p w14:paraId="2E1D138B" w14:textId="77777777" w:rsidR="000E28E8" w:rsidRDefault="000E28E8" w:rsidP="00EE20C4">
      <w:pPr>
        <w:spacing w:line="360" w:lineRule="auto"/>
        <w:ind w:left="720"/>
        <w:rPr>
          <w:rFonts w:ascii="ABeeZee" w:eastAsia="ABeeZee" w:hAnsi="ABeeZee" w:cs="ABeeZee"/>
          <w:b/>
          <w:sz w:val="28"/>
          <w:szCs w:val="28"/>
        </w:rPr>
      </w:pPr>
    </w:p>
    <w:p w14:paraId="00F490E5" w14:textId="368F1A1F" w:rsidR="00EE20C4" w:rsidRDefault="00EE20C4" w:rsidP="00AB49EC">
      <w:pPr>
        <w:spacing w:line="360" w:lineRule="auto"/>
        <w:rPr>
          <w:rFonts w:ascii="ABeeZee" w:eastAsia="ABeeZee" w:hAnsi="ABeeZee" w:cs="ABeeZee"/>
          <w:b/>
          <w:sz w:val="28"/>
          <w:szCs w:val="28"/>
        </w:rPr>
      </w:pPr>
    </w:p>
    <w:p w14:paraId="2AE9D634" w14:textId="77777777" w:rsidR="00EE20C4" w:rsidRPr="00AB49EC" w:rsidRDefault="00EE20C4" w:rsidP="00AB49EC">
      <w:pPr>
        <w:spacing w:line="360" w:lineRule="auto"/>
        <w:rPr>
          <w:rFonts w:ascii="ABeeZee" w:eastAsia="ABeeZee" w:hAnsi="ABeeZee" w:cs="ABeeZee"/>
          <w:b/>
          <w:sz w:val="28"/>
          <w:szCs w:val="28"/>
        </w:rPr>
      </w:pPr>
    </w:p>
    <w:tbl>
      <w:tblPr>
        <w:tblStyle w:val="a"/>
        <w:tblW w:w="14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030"/>
        <w:gridCol w:w="6180"/>
      </w:tblGrid>
      <w:tr w:rsidR="00C104F4" w14:paraId="11EE5886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A710" w14:textId="77777777" w:rsidR="00C104F4" w:rsidRDefault="00C1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eeZee" w:eastAsia="ABeeZee" w:hAnsi="ABeeZee" w:cs="ABeeZee"/>
                <w:b/>
              </w:rPr>
            </w:pPr>
          </w:p>
        </w:tc>
        <w:tc>
          <w:tcPr>
            <w:tcW w:w="60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E004" w14:textId="77777777" w:rsidR="00C104F4" w:rsidRDefault="00562712">
            <w:pPr>
              <w:widowControl w:val="0"/>
              <w:spacing w:line="240" w:lineRule="auto"/>
              <w:jc w:val="center"/>
              <w:rPr>
                <w:rFonts w:ascii="ABeeZee" w:eastAsia="ABeeZee" w:hAnsi="ABeeZee" w:cs="ABeeZee"/>
                <w:b/>
              </w:rPr>
            </w:pPr>
            <w:r>
              <w:rPr>
                <w:rFonts w:ascii="ABeeZee" w:eastAsia="ABeeZee" w:hAnsi="ABeeZee" w:cs="ABeeZee"/>
                <w:b/>
              </w:rPr>
              <w:t>Making Connection to Essential Question</w:t>
            </w:r>
          </w:p>
        </w:tc>
        <w:tc>
          <w:tcPr>
            <w:tcW w:w="61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ACB5" w14:textId="4CC7A8A3" w:rsidR="00C104F4" w:rsidRDefault="00562712">
            <w:pPr>
              <w:widowControl w:val="0"/>
              <w:spacing w:line="240" w:lineRule="auto"/>
              <w:jc w:val="center"/>
              <w:rPr>
                <w:rFonts w:ascii="ABeeZee" w:eastAsia="ABeeZee" w:hAnsi="ABeeZee" w:cs="ABeeZee"/>
                <w:b/>
              </w:rPr>
            </w:pPr>
            <w:r>
              <w:rPr>
                <w:rFonts w:ascii="ABeeZee" w:eastAsia="ABeeZee" w:hAnsi="ABeeZee" w:cs="ABeeZee"/>
                <w:b/>
              </w:rPr>
              <w:t xml:space="preserve">Evidence from the </w:t>
            </w:r>
            <w:r w:rsidR="000D2256">
              <w:rPr>
                <w:rFonts w:ascii="ABeeZee" w:eastAsia="ABeeZee" w:hAnsi="ABeeZee" w:cs="ABeeZee"/>
                <w:b/>
              </w:rPr>
              <w:t>Video</w:t>
            </w:r>
            <w:r w:rsidR="00932CD6">
              <w:rPr>
                <w:rFonts w:ascii="ABeeZee" w:eastAsia="ABeeZee" w:hAnsi="ABeeZee" w:cs="ABeeZee"/>
                <w:b/>
              </w:rPr>
              <w:t xml:space="preserve"> or Article</w:t>
            </w:r>
          </w:p>
        </w:tc>
      </w:tr>
      <w:tr w:rsidR="00C104F4" w14:paraId="3F78C0FC" w14:textId="77777777">
        <w:tc>
          <w:tcPr>
            <w:tcW w:w="2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CC11" w14:textId="77777777" w:rsidR="00C104F4" w:rsidRDefault="005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  <w:r>
              <w:rPr>
                <w:rFonts w:ascii="ABeeZee" w:eastAsia="ABeeZee" w:hAnsi="ABeeZee" w:cs="ABeeZee"/>
              </w:rPr>
              <w:t>Title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F529" w14:textId="4DEA0C3E" w:rsidR="00C104F4" w:rsidRDefault="00562712" w:rsidP="00A73C5B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  <w:r>
              <w:rPr>
                <w:rFonts w:ascii="ABeeZee" w:eastAsia="ABeeZee" w:hAnsi="ABeeZee" w:cs="ABeeZee"/>
              </w:rPr>
              <w:t xml:space="preserve">How does this selection relate to the </w:t>
            </w:r>
            <w:r w:rsidR="00CA233C">
              <w:rPr>
                <w:rFonts w:ascii="ABeeZee" w:eastAsia="ABeeZee" w:hAnsi="ABeeZee" w:cs="ABeeZee"/>
              </w:rPr>
              <w:t xml:space="preserve">essential </w:t>
            </w:r>
            <w:r>
              <w:rPr>
                <w:rFonts w:ascii="ABeeZee" w:eastAsia="ABeeZee" w:hAnsi="ABeeZee" w:cs="ABeeZee"/>
              </w:rPr>
              <w:t>question “(</w:t>
            </w:r>
            <w:r w:rsidR="004310BB">
              <w:rPr>
                <w:rFonts w:ascii="ABeeZee" w:eastAsia="ABeeZee" w:hAnsi="ABeeZee" w:cs="ABeeZee"/>
              </w:rPr>
              <w:t>3</w:t>
            </w:r>
            <w:r>
              <w:rPr>
                <w:rFonts w:ascii="ABeeZee" w:eastAsia="ABeeZee" w:hAnsi="ABeeZee" w:cs="ABeeZee"/>
              </w:rPr>
              <w:t>+ sentences)</w:t>
            </w:r>
            <w:r w:rsidR="006B2FAA">
              <w:rPr>
                <w:rFonts w:ascii="ABeeZee" w:eastAsia="ABeeZee" w:hAnsi="ABeeZee" w:cs="ABeeZee"/>
              </w:rPr>
              <w:t xml:space="preserve">: </w:t>
            </w:r>
            <w:r w:rsidR="006B2FAA" w:rsidRPr="006B2FAA">
              <w:rPr>
                <w:rFonts w:ascii="ABeeZee" w:eastAsia="ABeeZee" w:hAnsi="ABeeZee" w:cs="ABeeZee"/>
                <w:bCs/>
                <w:sz w:val="24"/>
                <w:szCs w:val="24"/>
              </w:rPr>
              <w:t>What is the relationship between individual identity and assigned identity?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DAA6" w14:textId="14518823" w:rsidR="00C104F4" w:rsidRDefault="00562712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  <w:r>
              <w:rPr>
                <w:rFonts w:ascii="ABeeZee" w:eastAsia="ABeeZee" w:hAnsi="ABeeZee" w:cs="ABeeZee"/>
              </w:rPr>
              <w:t xml:space="preserve">Copy </w:t>
            </w:r>
            <w:r w:rsidR="00323A8A">
              <w:rPr>
                <w:rFonts w:ascii="ABeeZee" w:eastAsia="ABeeZee" w:hAnsi="ABeeZee" w:cs="ABeeZee"/>
                <w:u w:val="single"/>
              </w:rPr>
              <w:t>at least 3-4</w:t>
            </w:r>
            <w:r>
              <w:rPr>
                <w:rFonts w:ascii="ABeeZee" w:eastAsia="ABeeZee" w:hAnsi="ABeeZee" w:cs="ABeeZee"/>
                <w:u w:val="single"/>
              </w:rPr>
              <w:t xml:space="preserve"> specific </w:t>
            </w:r>
            <w:r w:rsidR="00A73C5B">
              <w:rPr>
                <w:rFonts w:ascii="ABeeZee" w:eastAsia="ABeeZee" w:hAnsi="ABeeZee" w:cs="ABeeZee"/>
                <w:u w:val="single"/>
              </w:rPr>
              <w:t xml:space="preserve">statements or </w:t>
            </w:r>
            <w:r>
              <w:rPr>
                <w:rFonts w:ascii="ABeeZee" w:eastAsia="ABeeZee" w:hAnsi="ABeeZee" w:cs="ABeeZee"/>
                <w:u w:val="single"/>
              </w:rPr>
              <w:t>passages</w:t>
            </w:r>
            <w:r>
              <w:rPr>
                <w:rFonts w:ascii="ABeeZee" w:eastAsia="ABeeZee" w:hAnsi="ABeeZee" w:cs="ABeeZee"/>
              </w:rPr>
              <w:t xml:space="preserve"> from the selection that helped you make your connection. (</w:t>
            </w:r>
            <w:r w:rsidR="00A73C5B">
              <w:rPr>
                <w:rFonts w:ascii="ABeeZee" w:eastAsia="ABeeZee" w:hAnsi="ABeeZee" w:cs="ABeeZee"/>
              </w:rPr>
              <w:t xml:space="preserve">Include when it was said in the </w:t>
            </w:r>
            <w:r w:rsidR="00CA233C">
              <w:rPr>
                <w:rFonts w:ascii="ABeeZee" w:eastAsia="ABeeZee" w:hAnsi="ABeeZee" w:cs="ABeeZee"/>
              </w:rPr>
              <w:t xml:space="preserve">case of </w:t>
            </w:r>
            <w:r w:rsidR="00A73C5B">
              <w:rPr>
                <w:rFonts w:ascii="ABeeZee" w:eastAsia="ABeeZee" w:hAnsi="ABeeZee" w:cs="ABeeZee"/>
              </w:rPr>
              <w:t>video</w:t>
            </w:r>
            <w:r w:rsidR="00CA233C">
              <w:rPr>
                <w:rFonts w:ascii="ABeeZee" w:eastAsia="ABeeZee" w:hAnsi="ABeeZee" w:cs="ABeeZee"/>
              </w:rPr>
              <w:t>s</w:t>
            </w:r>
            <w:r w:rsidR="00323A8A">
              <w:rPr>
                <w:rFonts w:ascii="ABeeZee" w:eastAsia="ABeeZee" w:hAnsi="ABeeZee" w:cs="ABeeZee"/>
              </w:rPr>
              <w:t>.</w:t>
            </w:r>
            <w:r w:rsidR="00A73C5B">
              <w:rPr>
                <w:rFonts w:ascii="ABeeZee" w:eastAsia="ABeeZee" w:hAnsi="ABeeZee" w:cs="ABeeZee"/>
              </w:rPr>
              <w:t>)</w:t>
            </w:r>
          </w:p>
        </w:tc>
      </w:tr>
      <w:tr w:rsidR="005433C5" w14:paraId="319CA028" w14:textId="77777777">
        <w:tc>
          <w:tcPr>
            <w:tcW w:w="20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3709" w14:textId="77777777" w:rsidR="00F13E02" w:rsidRDefault="00C3168B" w:rsidP="00F13E02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  <w:r>
              <w:rPr>
                <w:rFonts w:ascii="ABeeZee" w:eastAsia="ABeeZee" w:hAnsi="ABeeZee" w:cs="ABeeZee"/>
              </w:rPr>
              <w:t>1/2</w:t>
            </w:r>
            <w:r w:rsidR="00431AA2">
              <w:rPr>
                <w:rFonts w:ascii="ABeeZee" w:eastAsia="ABeeZee" w:hAnsi="ABeeZee" w:cs="ABeeZee"/>
              </w:rPr>
              <w:t>5</w:t>
            </w:r>
            <w:r>
              <w:rPr>
                <w:rFonts w:ascii="ABeeZee" w:eastAsia="ABeeZee" w:hAnsi="ABeeZee" w:cs="ABeeZee"/>
              </w:rPr>
              <w:t xml:space="preserve">: </w:t>
            </w:r>
            <w:r w:rsidR="00F13E02">
              <w:rPr>
                <w:rFonts w:ascii="ABeeZee" w:eastAsia="ABeeZee" w:hAnsi="ABeeZee" w:cs="ABeeZee"/>
              </w:rPr>
              <w:t>Michel Foucault, “’We Other Victorians.’”</w:t>
            </w:r>
          </w:p>
          <w:p w14:paraId="1052A29D" w14:textId="4C84354D" w:rsidR="005433C5" w:rsidRDefault="005433C5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4D3528D1" w14:textId="77777777" w:rsidR="005433C5" w:rsidRDefault="005433C5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0B6BBFB8" w14:textId="77777777" w:rsidR="005433C5" w:rsidRDefault="005433C5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1A5A2C77" w14:textId="77777777" w:rsidR="005433C5" w:rsidRDefault="005433C5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10688443" w14:textId="10E17148" w:rsidR="005433C5" w:rsidRDefault="005433C5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33C3944C" w14:textId="711D09D6" w:rsidR="005F632C" w:rsidRDefault="005F632C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020F5BF8" w14:textId="2247EB13" w:rsidR="005F632C" w:rsidRDefault="005F632C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3C11F14D" w14:textId="77777777" w:rsidR="005F632C" w:rsidRDefault="005F632C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14A6A634" w14:textId="0188F32E" w:rsidR="005433C5" w:rsidRDefault="005433C5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7DE5EADF" w14:textId="374897F2" w:rsidR="00A73C5B" w:rsidRDefault="00A73C5B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76F9E857" w14:textId="77777777" w:rsidR="007477F4" w:rsidRDefault="007477F4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442DA57B" w14:textId="263242F7" w:rsidR="00A73C5B" w:rsidRDefault="00A73C5B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713FCB0E" w14:textId="375DC34F" w:rsidR="00A73C5B" w:rsidRDefault="00A73C5B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231A84D8" w14:textId="77777777" w:rsidR="00A73C5B" w:rsidRDefault="00A73C5B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5842E4A4" w14:textId="77777777" w:rsidR="005433C5" w:rsidRDefault="005433C5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2F4CD92A" w14:textId="77777777" w:rsidR="005433C5" w:rsidRDefault="005433C5" w:rsidP="0054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F12E" w14:textId="77777777" w:rsidR="005433C5" w:rsidRDefault="005433C5" w:rsidP="0054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B85226" w14:textId="77777777" w:rsidR="005433C5" w:rsidRDefault="005433C5" w:rsidP="0054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342683" w14:textId="77777777" w:rsidR="005433C5" w:rsidRDefault="005433C5" w:rsidP="0054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B65DF6" w14:textId="77777777" w:rsidR="005433C5" w:rsidRDefault="005433C5" w:rsidP="0054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6F46" w14:textId="12E20ECE" w:rsidR="005433C5" w:rsidRDefault="005433C5" w:rsidP="0054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433C5" w14:paraId="0E927891" w14:textId="77777777">
        <w:tc>
          <w:tcPr>
            <w:tcW w:w="20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540" w14:textId="77777777" w:rsidR="00F13E02" w:rsidRDefault="00CA233C" w:rsidP="00F13E02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  <w:r>
              <w:rPr>
                <w:rFonts w:ascii="ABeeZee" w:eastAsia="ABeeZee" w:hAnsi="ABeeZee" w:cs="ABeeZee"/>
              </w:rPr>
              <w:lastRenderedPageBreak/>
              <w:t>1/2</w:t>
            </w:r>
            <w:r w:rsidR="00431AA2">
              <w:rPr>
                <w:rFonts w:ascii="ABeeZee" w:eastAsia="ABeeZee" w:hAnsi="ABeeZee" w:cs="ABeeZee"/>
              </w:rPr>
              <w:t>7</w:t>
            </w:r>
            <w:r>
              <w:rPr>
                <w:rFonts w:ascii="ABeeZee" w:eastAsia="ABeeZee" w:hAnsi="ABeeZee" w:cs="ABeeZee"/>
              </w:rPr>
              <w:t xml:space="preserve">: </w:t>
            </w:r>
            <w:r w:rsidR="00F13E02">
              <w:rPr>
                <w:rFonts w:ascii="ABeeZee" w:eastAsia="ABeeZee" w:hAnsi="ABeeZee" w:cs="ABeeZee"/>
              </w:rPr>
              <w:t>Robert Buffington, “Introduction”</w:t>
            </w:r>
          </w:p>
          <w:p w14:paraId="2BCAE8D7" w14:textId="056FE268" w:rsidR="007477F4" w:rsidRDefault="007477F4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304D7325" w14:textId="2647113C" w:rsidR="007477F4" w:rsidRDefault="007477F4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0F6CE685" w14:textId="77777777" w:rsidR="007477F4" w:rsidRDefault="007477F4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713E7B23" w14:textId="77777777" w:rsidR="007477F4" w:rsidRDefault="007477F4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2AC3C891" w14:textId="1762E6B3" w:rsidR="005433C5" w:rsidRDefault="005433C5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48391EB1" w14:textId="525B58F2" w:rsidR="005F632C" w:rsidRDefault="005F632C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1570244B" w14:textId="0A2D05B3" w:rsidR="005F632C" w:rsidRDefault="005F632C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7C405D32" w14:textId="4C4437B5" w:rsidR="005F632C" w:rsidRDefault="005F632C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7019EDFF" w14:textId="2DCC4846" w:rsidR="005F632C" w:rsidRDefault="005F632C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10FD69FE" w14:textId="64D7F077" w:rsidR="005F632C" w:rsidRDefault="005F632C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13CAF81C" w14:textId="6C9D043D" w:rsidR="005F632C" w:rsidRDefault="005F632C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5EB88F98" w14:textId="6969A8BC" w:rsidR="005F632C" w:rsidRDefault="005F632C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157B316E" w14:textId="77777777" w:rsidR="005F632C" w:rsidRDefault="005F632C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6DDD7313" w14:textId="5F586044" w:rsidR="005433C5" w:rsidRDefault="005433C5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  <w:p w14:paraId="4BC066CA" w14:textId="63947FE2" w:rsidR="005433C5" w:rsidRDefault="005433C5" w:rsidP="005433C5">
            <w:pPr>
              <w:widowControl w:val="0"/>
              <w:spacing w:line="240" w:lineRule="auto"/>
              <w:rPr>
                <w:rFonts w:ascii="ABeeZee" w:eastAsia="ABeeZee" w:hAnsi="ABeeZee" w:cs="ABeeZee"/>
              </w:rPr>
            </w:pP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2522" w14:textId="77777777" w:rsidR="005433C5" w:rsidRDefault="005433C5" w:rsidP="0054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814358" w14:textId="77777777" w:rsidR="005433C5" w:rsidRDefault="005433C5" w:rsidP="0054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017770" w14:textId="77777777" w:rsidR="005433C5" w:rsidRDefault="005433C5" w:rsidP="0054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B33DB3" w14:textId="2B8C4FDC" w:rsidR="005433C5" w:rsidRDefault="005433C5" w:rsidP="0054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E7C6" w14:textId="77777777" w:rsidR="005433C5" w:rsidRDefault="005433C5" w:rsidP="0054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tbl>
      <w:tblPr>
        <w:tblW w:w="14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030"/>
        <w:gridCol w:w="6180"/>
      </w:tblGrid>
      <w:tr w:rsidR="00A73C5B" w14:paraId="5C57E7B4" w14:textId="77777777" w:rsidTr="008813A0">
        <w:trPr>
          <w:trHeight w:val="1140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2973" w14:textId="2CDEB730" w:rsidR="00A73C5B" w:rsidRPr="005F632C" w:rsidRDefault="00CA233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  <w:lang w:val="en-US"/>
              </w:rPr>
            </w:pPr>
            <w:r>
              <w:rPr>
                <w:rFonts w:ascii="ABeeZee" w:eastAsia="ABeeZee" w:hAnsi="ABeeZee" w:cs="ABeeZee"/>
              </w:rPr>
              <w:t>1/3</w:t>
            </w:r>
            <w:r w:rsidR="00431AA2">
              <w:rPr>
                <w:rFonts w:ascii="ABeeZee" w:eastAsia="ABeeZee" w:hAnsi="ABeeZee" w:cs="ABeeZee"/>
              </w:rPr>
              <w:t>0</w:t>
            </w:r>
            <w:r>
              <w:rPr>
                <w:rFonts w:ascii="ABeeZee" w:eastAsia="ABeeZee" w:hAnsi="ABeeZee" w:cs="ABeeZee"/>
              </w:rPr>
              <w:t>: Sabine Fr</w:t>
            </w:r>
            <w:proofErr w:type="spellStart"/>
            <w:r w:rsidRPr="00431AA2">
              <w:rPr>
                <w:rFonts w:ascii="ABeeZee" w:eastAsia="ABeeZee" w:hAnsi="ABeeZee" w:cs="ABeeZee"/>
                <w:lang w:val="en-US"/>
              </w:rPr>
              <w:t>ü</w:t>
            </w:r>
            <w:r w:rsidR="005F632C" w:rsidRPr="00431AA2">
              <w:rPr>
                <w:rFonts w:ascii="ABeeZee" w:eastAsia="ABeeZee" w:hAnsi="ABeeZee" w:cs="ABeeZee"/>
                <w:lang w:val="en-US"/>
              </w:rPr>
              <w:t>hstück</w:t>
            </w:r>
            <w:proofErr w:type="spellEnd"/>
            <w:r w:rsidR="005F632C">
              <w:rPr>
                <w:rFonts w:ascii="ABeeZee" w:eastAsia="ABeeZee" w:hAnsi="ABeeZee" w:cs="ABeeZee"/>
                <w:lang w:val="en-US"/>
              </w:rPr>
              <w:t>, “Sexuality and the Nation-State”</w:t>
            </w:r>
          </w:p>
          <w:p w14:paraId="009924F4" w14:textId="77777777" w:rsidR="00A73C5B" w:rsidRPr="00431AA2" w:rsidRDefault="00A73C5B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  <w:lang w:val="en-US"/>
              </w:rPr>
            </w:pPr>
          </w:p>
          <w:p w14:paraId="0188101C" w14:textId="0506E3E1" w:rsidR="00A73C5B" w:rsidRDefault="00A73C5B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7460F372" w14:textId="46684BE8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2A34E7E9" w14:textId="40E069C9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7C472D11" w14:textId="5198D85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6FB0627C" w14:textId="5CBF29EE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2CB8651B" w14:textId="390B87E3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0A68E975" w14:textId="75D0E6BF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6A3124E5" w14:textId="0A4E8A64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753E6CAC" w14:textId="77777777" w:rsidR="00C3168B" w:rsidRDefault="00C3168B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1D529D79" w14:textId="77777777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03DDB7FD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4321AD72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5BDEB6FF" w14:textId="37729DEF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30A7" w14:textId="77777777" w:rsidR="00A73C5B" w:rsidRDefault="00A73C5B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37B4" w14:textId="77777777" w:rsidR="00A73C5B" w:rsidRDefault="00A73C5B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477F4" w14:paraId="584AE230" w14:textId="77777777" w:rsidTr="008813A0">
        <w:trPr>
          <w:trHeight w:val="1140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3774" w14:textId="1BFD0357" w:rsidR="007477F4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  <w:r>
              <w:rPr>
                <w:rFonts w:ascii="ABeeZee" w:eastAsia="ABeeZee" w:hAnsi="ABeeZee" w:cs="ABeeZee"/>
              </w:rPr>
              <w:lastRenderedPageBreak/>
              <w:t>2/</w:t>
            </w:r>
            <w:r w:rsidR="00431AA2">
              <w:rPr>
                <w:rFonts w:ascii="ABeeZee" w:eastAsia="ABeeZee" w:hAnsi="ABeeZee" w:cs="ABeeZee"/>
              </w:rPr>
              <w:t>1</w:t>
            </w:r>
            <w:r>
              <w:rPr>
                <w:rFonts w:ascii="ABeeZee" w:eastAsia="ABeeZee" w:hAnsi="ABeeZee" w:cs="ABeeZee"/>
              </w:rPr>
              <w:t xml:space="preserve">: </w:t>
            </w:r>
            <w:proofErr w:type="spellStart"/>
            <w:r>
              <w:rPr>
                <w:rFonts w:ascii="ABeeZee" w:eastAsia="ABeeZee" w:hAnsi="ABeeZee" w:cs="ABeeZee"/>
              </w:rPr>
              <w:t>Shosh</w:t>
            </w:r>
            <w:proofErr w:type="spellEnd"/>
            <w:r>
              <w:rPr>
                <w:rFonts w:ascii="ABeeZee" w:eastAsia="ABeeZee" w:hAnsi="ABeeZee" w:cs="ABeeZee"/>
              </w:rPr>
              <w:t xml:space="preserve"> </w:t>
            </w:r>
            <w:proofErr w:type="spellStart"/>
            <w:r>
              <w:rPr>
                <w:rFonts w:ascii="ABeeZee" w:eastAsia="ABeeZee" w:hAnsi="ABeeZee" w:cs="ABeeZee"/>
              </w:rPr>
              <w:t>Shlam</w:t>
            </w:r>
            <w:proofErr w:type="spellEnd"/>
            <w:r>
              <w:rPr>
                <w:rFonts w:ascii="ABeeZee" w:eastAsia="ABeeZee" w:hAnsi="ABeeZee" w:cs="ABeeZee"/>
              </w:rPr>
              <w:t xml:space="preserve"> and </w:t>
            </w:r>
            <w:proofErr w:type="spellStart"/>
            <w:r>
              <w:rPr>
                <w:rFonts w:ascii="ABeeZee" w:eastAsia="ABeeZee" w:hAnsi="ABeeZee" w:cs="ABeeZee"/>
              </w:rPr>
              <w:t>Hilla</w:t>
            </w:r>
            <w:proofErr w:type="spellEnd"/>
            <w:r>
              <w:rPr>
                <w:rFonts w:ascii="ABeeZee" w:eastAsia="ABeeZee" w:hAnsi="ABeeZee" w:cs="ABeeZee"/>
              </w:rPr>
              <w:t xml:space="preserve"> </w:t>
            </w:r>
            <w:proofErr w:type="spellStart"/>
            <w:r>
              <w:rPr>
                <w:rFonts w:ascii="ABeeZee" w:eastAsia="ABeeZee" w:hAnsi="ABeeZee" w:cs="ABeeZee"/>
              </w:rPr>
              <w:t>Medalia</w:t>
            </w:r>
            <w:proofErr w:type="spellEnd"/>
            <w:r>
              <w:rPr>
                <w:rFonts w:ascii="ABeeZee" w:eastAsia="ABeeZee" w:hAnsi="ABeeZee" w:cs="ABeeZee"/>
              </w:rPr>
              <w:t xml:space="preserve">, “Where Being </w:t>
            </w:r>
            <w:proofErr w:type="gramStart"/>
            <w:r>
              <w:rPr>
                <w:rFonts w:ascii="ABeeZee" w:eastAsia="ABeeZee" w:hAnsi="ABeeZee" w:cs="ABeeZee"/>
              </w:rPr>
              <w:t>A</w:t>
            </w:r>
            <w:proofErr w:type="gramEnd"/>
            <w:r>
              <w:rPr>
                <w:rFonts w:ascii="ABeeZee" w:eastAsia="ABeeZee" w:hAnsi="ABeeZee" w:cs="ABeeZee"/>
              </w:rPr>
              <w:t xml:space="preserve"> Single Woman is Not Okay” (video)</w:t>
            </w:r>
          </w:p>
          <w:p w14:paraId="0316C359" w14:textId="1B50CDDA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05F5F799" w14:textId="48285311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4E078CA4" w14:textId="77777777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47562E12" w14:textId="77777777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354E5C36" w14:textId="6BE82A11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44A2C11E" w14:textId="32D767F4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304B8AFC" w14:textId="5D1FAD1A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2340AA32" w14:textId="02CDFB49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332DDF0F" w14:textId="01D31D7E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1B1F297E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62E72639" w14:textId="77777777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52C53B1F" w14:textId="58B2365E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E542" w14:textId="77777777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D61E" w14:textId="77777777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CF4CDC" w14:textId="77777777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5CFC61" w14:textId="18A1232E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477F4" w14:paraId="10930D1B" w14:textId="77777777" w:rsidTr="008813A0">
        <w:trPr>
          <w:trHeight w:val="1140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0D4E" w14:textId="46A9830F" w:rsidR="007477F4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  <w:r>
              <w:rPr>
                <w:rFonts w:ascii="ABeeZee" w:eastAsia="ABeeZee" w:hAnsi="ABeeZee" w:cs="ABeeZee"/>
              </w:rPr>
              <w:t>2/</w:t>
            </w:r>
            <w:r w:rsidR="00431AA2">
              <w:rPr>
                <w:rFonts w:ascii="ABeeZee" w:eastAsia="ABeeZee" w:hAnsi="ABeeZee" w:cs="ABeeZee"/>
              </w:rPr>
              <w:t>6</w:t>
            </w:r>
            <w:r>
              <w:rPr>
                <w:rFonts w:ascii="ABeeZee" w:eastAsia="ABeeZee" w:hAnsi="ABeeZee" w:cs="ABeeZee"/>
              </w:rPr>
              <w:t xml:space="preserve">: “Scientist or Storyteller?” and Cody </w:t>
            </w:r>
            <w:proofErr w:type="spellStart"/>
            <w:r>
              <w:rPr>
                <w:rFonts w:ascii="ABeeZee" w:eastAsia="ABeeZee" w:hAnsi="ABeeZee" w:cs="ABeeZee"/>
              </w:rPr>
              <w:t>Delistraty</w:t>
            </w:r>
            <w:proofErr w:type="spellEnd"/>
            <w:r>
              <w:rPr>
                <w:rFonts w:ascii="ABeeZee" w:eastAsia="ABeeZee" w:hAnsi="ABeeZee" w:cs="ABeeZee"/>
              </w:rPr>
              <w:t>, “Untangling the Complicated, Controversial Legacy of Sigmund Freud.”</w:t>
            </w:r>
          </w:p>
          <w:p w14:paraId="13E9C8E8" w14:textId="15877B87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099AAFBB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7B0BB55B" w14:textId="738AB137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2ABD92AD" w14:textId="45B0CEE3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2AFDC4B7" w14:textId="647069AF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309AB49D" w14:textId="0EFE75F4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52FFB827" w14:textId="77777777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067CDF88" w14:textId="77777777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069D0483" w14:textId="482CBCC7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04BBC8D9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30E4290B" w14:textId="7F9808F8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570E" w14:textId="77777777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0747EA" w14:textId="619ABBAA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A955" w14:textId="77777777" w:rsidR="007477F4" w:rsidRDefault="007477F4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632C" w14:paraId="5CA054E6" w14:textId="77777777" w:rsidTr="008813A0">
        <w:trPr>
          <w:trHeight w:val="1140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8A5C" w14:textId="0D96FBD9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  <w:r>
              <w:rPr>
                <w:rFonts w:ascii="ABeeZee" w:eastAsia="ABeeZee" w:hAnsi="ABeeZee" w:cs="ABeeZee"/>
              </w:rPr>
              <w:lastRenderedPageBreak/>
              <w:t>2/</w:t>
            </w:r>
            <w:r w:rsidR="00431AA2">
              <w:rPr>
                <w:rFonts w:ascii="ABeeZee" w:eastAsia="ABeeZee" w:hAnsi="ABeeZee" w:cs="ABeeZee"/>
              </w:rPr>
              <w:t>8</w:t>
            </w:r>
            <w:r>
              <w:rPr>
                <w:rFonts w:ascii="ABeeZee" w:eastAsia="ABeeZee" w:hAnsi="ABeeZee" w:cs="ABeeZee"/>
              </w:rPr>
              <w:t>: Excerpt, Alfred Kinsey, “Sexual Behavior in the Human Male”</w:t>
            </w:r>
          </w:p>
          <w:p w14:paraId="20962057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139D21C8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597F64DD" w14:textId="25CCA764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373E77CD" w14:textId="77777777" w:rsidR="00C13CE2" w:rsidRDefault="00C13CE2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3B403B5E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67C3B4FB" w14:textId="698C2E19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41D17429" w14:textId="1B622522" w:rsidR="00C13CE2" w:rsidRDefault="00C13CE2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1F3753D5" w14:textId="77777777" w:rsidR="00C13CE2" w:rsidRDefault="00C13CE2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3B2EC021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4CCA7D43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2015C224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688499A3" w14:textId="77777777" w:rsidR="00C13CE2" w:rsidRDefault="00C13CE2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5284593D" w14:textId="05F37964" w:rsidR="00C13CE2" w:rsidRDefault="00C13CE2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66DB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B667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632C" w14:paraId="2201A65C" w14:textId="77777777" w:rsidTr="008813A0">
        <w:trPr>
          <w:trHeight w:val="1140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0F24" w14:textId="39B1C52E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  <w:r>
              <w:rPr>
                <w:rFonts w:ascii="ABeeZee" w:eastAsia="ABeeZee" w:hAnsi="ABeeZee" w:cs="ABeeZee"/>
              </w:rPr>
              <w:t>2/</w:t>
            </w:r>
            <w:r w:rsidR="00431AA2">
              <w:rPr>
                <w:rFonts w:ascii="ABeeZee" w:eastAsia="ABeeZee" w:hAnsi="ABeeZee" w:cs="ABeeZee"/>
              </w:rPr>
              <w:t>10</w:t>
            </w:r>
            <w:r>
              <w:rPr>
                <w:rFonts w:ascii="ABeeZee" w:eastAsia="ABeeZee" w:hAnsi="ABeeZee" w:cs="ABeeZee"/>
              </w:rPr>
              <w:t xml:space="preserve">: Joan </w:t>
            </w:r>
            <w:proofErr w:type="spellStart"/>
            <w:r>
              <w:rPr>
                <w:rFonts w:ascii="ABeeZee" w:eastAsia="ABeeZee" w:hAnsi="ABeeZee" w:cs="ABeeZee"/>
              </w:rPr>
              <w:t>Roughgarden</w:t>
            </w:r>
            <w:proofErr w:type="spellEnd"/>
            <w:r>
              <w:rPr>
                <w:rFonts w:ascii="ABeeZee" w:eastAsia="ABeeZee" w:hAnsi="ABeeZee" w:cs="ABeeZee"/>
              </w:rPr>
              <w:t>, “The Theory of Evolution”</w:t>
            </w:r>
          </w:p>
          <w:p w14:paraId="3AA1C420" w14:textId="7DC59B8B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20ED13BE" w14:textId="421B1765" w:rsidR="00C13CE2" w:rsidRDefault="00C13CE2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245D6073" w14:textId="2D49DEB1" w:rsidR="00C13CE2" w:rsidRDefault="00C13CE2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05F0E7A6" w14:textId="77777777" w:rsidR="00C13CE2" w:rsidRDefault="00C13CE2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421B57A2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7CA5A97C" w14:textId="7286D075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38F8024E" w14:textId="1D7D3019" w:rsidR="00C13CE2" w:rsidRDefault="00C13CE2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66AAE6AD" w14:textId="77777777" w:rsidR="00C13CE2" w:rsidRDefault="00C13CE2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659E9C5C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64B8CFC2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2D488A0F" w14:textId="77777777" w:rsidR="00C13CE2" w:rsidRDefault="00C13CE2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3DAAA85E" w14:textId="77777777" w:rsidR="00C13CE2" w:rsidRDefault="00C13CE2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45141079" w14:textId="77777777" w:rsidR="00C13CE2" w:rsidRDefault="00C13CE2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0B506202" w14:textId="77777777" w:rsidR="00C13CE2" w:rsidRDefault="00C13CE2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  <w:p w14:paraId="7DD0E359" w14:textId="2DC8CC3F" w:rsidR="00C13CE2" w:rsidRDefault="00C13CE2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BeeZee" w:eastAsia="ABeeZee" w:hAnsi="ABeeZee" w:cs="ABeeZee"/>
              </w:rPr>
            </w:pP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C1CF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F6CB" w14:textId="77777777" w:rsidR="005F632C" w:rsidRDefault="005F632C" w:rsidP="0088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F9BA8C" w14:textId="3314E5A1" w:rsidR="007477F4" w:rsidRDefault="007477F4" w:rsidP="007477F4">
      <w:pPr>
        <w:rPr>
          <w:rFonts w:ascii="ABeeZee" w:eastAsia="ABeeZee" w:hAnsi="ABeeZee" w:cs="ABeeZee"/>
          <w:b/>
          <w:color w:val="0B5394"/>
          <w:sz w:val="24"/>
          <w:szCs w:val="24"/>
        </w:rPr>
      </w:pPr>
    </w:p>
    <w:p w14:paraId="43BA1F30" w14:textId="77777777" w:rsidR="005F632C" w:rsidRDefault="005F632C" w:rsidP="007477F4">
      <w:pPr>
        <w:rPr>
          <w:rFonts w:ascii="ABeeZee" w:eastAsia="ABeeZee" w:hAnsi="ABeeZee" w:cs="ABeeZee"/>
          <w:b/>
          <w:color w:val="0B5394"/>
          <w:sz w:val="24"/>
          <w:szCs w:val="24"/>
        </w:rPr>
      </w:pPr>
    </w:p>
    <w:p w14:paraId="68595706" w14:textId="50C2D727" w:rsidR="007477F4" w:rsidRDefault="00562712" w:rsidP="007477F4">
      <w:pPr>
        <w:rPr>
          <w:rFonts w:ascii="ABeeZee" w:eastAsia="ABeeZee" w:hAnsi="ABeeZee" w:cs="ABeeZee"/>
          <w:b/>
          <w:color w:val="0B5394"/>
          <w:sz w:val="24"/>
          <w:szCs w:val="24"/>
        </w:rPr>
      </w:pPr>
      <w:r w:rsidRPr="00FE1D52">
        <w:rPr>
          <w:rFonts w:ascii="ABeeZee" w:eastAsia="ABeeZee" w:hAnsi="ABeeZee" w:cs="ABeeZee"/>
          <w:b/>
          <w:color w:val="0B5394"/>
          <w:sz w:val="24"/>
          <w:szCs w:val="24"/>
        </w:rPr>
        <w:t xml:space="preserve">How do these </w:t>
      </w:r>
      <w:r w:rsidR="00A73C5B" w:rsidRPr="00FE1D52">
        <w:rPr>
          <w:rFonts w:ascii="ABeeZee" w:eastAsia="ABeeZee" w:hAnsi="ABeeZee" w:cs="ABeeZee"/>
          <w:b/>
          <w:color w:val="0B5394"/>
          <w:sz w:val="24"/>
          <w:szCs w:val="24"/>
        </w:rPr>
        <w:t>sources</w:t>
      </w:r>
      <w:r w:rsidRPr="00FE1D52">
        <w:rPr>
          <w:rFonts w:ascii="ABeeZee" w:eastAsia="ABeeZee" w:hAnsi="ABeeZee" w:cs="ABeeZee"/>
          <w:b/>
          <w:color w:val="0B5394"/>
          <w:sz w:val="24"/>
          <w:szCs w:val="24"/>
        </w:rPr>
        <w:t xml:space="preserve"> change or add to my </w:t>
      </w:r>
      <w:r w:rsidR="00A73C5B" w:rsidRPr="00FE1D52">
        <w:rPr>
          <w:rFonts w:ascii="ABeeZee" w:eastAsia="ABeeZee" w:hAnsi="ABeeZee" w:cs="ABeeZee"/>
          <w:b/>
          <w:color w:val="0B5394"/>
          <w:sz w:val="24"/>
          <w:szCs w:val="24"/>
        </w:rPr>
        <w:t xml:space="preserve">initial </w:t>
      </w:r>
      <w:r w:rsidRPr="00FE1D52">
        <w:rPr>
          <w:rFonts w:ascii="ABeeZee" w:eastAsia="ABeeZee" w:hAnsi="ABeeZee" w:cs="ABeeZee"/>
          <w:b/>
          <w:color w:val="0B5394"/>
          <w:sz w:val="24"/>
          <w:szCs w:val="24"/>
        </w:rPr>
        <w:t>thinking</w:t>
      </w:r>
      <w:r w:rsidR="00A73C5B" w:rsidRPr="00FE1D52">
        <w:rPr>
          <w:rFonts w:ascii="ABeeZee" w:eastAsia="ABeeZee" w:hAnsi="ABeeZee" w:cs="ABeeZee"/>
          <w:b/>
          <w:color w:val="0B5394"/>
          <w:sz w:val="24"/>
          <w:szCs w:val="24"/>
        </w:rPr>
        <w:t xml:space="preserve"> about the essential question</w:t>
      </w:r>
      <w:r w:rsidRPr="00FE1D52">
        <w:rPr>
          <w:rFonts w:ascii="ABeeZee" w:eastAsia="ABeeZee" w:hAnsi="ABeeZee" w:cs="ABeeZee"/>
          <w:b/>
          <w:color w:val="0B5394"/>
          <w:sz w:val="24"/>
          <w:szCs w:val="24"/>
        </w:rPr>
        <w:t>?</w:t>
      </w:r>
    </w:p>
    <w:p w14:paraId="46DC027B" w14:textId="77777777" w:rsidR="005F632C" w:rsidRPr="007477F4" w:rsidRDefault="005F632C" w:rsidP="007477F4">
      <w:pPr>
        <w:rPr>
          <w:rFonts w:ascii="ABeeZee" w:eastAsia="ABeeZee" w:hAnsi="ABeeZee" w:cs="ABeeZee"/>
          <w:b/>
          <w:color w:val="0B5394"/>
          <w:sz w:val="24"/>
          <w:szCs w:val="24"/>
        </w:rPr>
      </w:pPr>
    </w:p>
    <w:p w14:paraId="4538AB41" w14:textId="35FAB84F" w:rsidR="00C104F4" w:rsidRDefault="00562712">
      <w:pPr>
        <w:spacing w:line="480" w:lineRule="auto"/>
        <w:rPr>
          <w:rFonts w:ascii="ABeeZee" w:eastAsia="ABeeZee" w:hAnsi="ABeeZee" w:cs="ABeeZee"/>
          <w:b/>
        </w:rPr>
      </w:pPr>
      <w:r>
        <w:rPr>
          <w:rFonts w:ascii="ABeeZee" w:eastAsia="ABeeZee" w:hAnsi="ABeeZee" w:cs="ABeeZee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73C5B">
        <w:rPr>
          <w:rFonts w:ascii="ABeeZee" w:eastAsia="ABeeZee" w:hAnsi="ABeeZee" w:cs="ABeeZee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7D71D5" w14:textId="08937B42" w:rsidR="00C13CE2" w:rsidRPr="00C13CE2" w:rsidRDefault="00C13CE2">
      <w:pPr>
        <w:spacing w:line="480" w:lineRule="auto"/>
        <w:rPr>
          <w:rFonts w:ascii="ABeeZee" w:eastAsia="ABeeZee" w:hAnsi="ABeeZee" w:cs="ABeeZee"/>
          <w:b/>
          <w:u w:val="single"/>
        </w:rPr>
      </w:pP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  <w:r>
        <w:rPr>
          <w:rFonts w:ascii="ABeeZee" w:eastAsia="ABeeZee" w:hAnsi="ABeeZee" w:cs="ABeeZee"/>
          <w:b/>
          <w:u w:val="single"/>
        </w:rPr>
        <w:tab/>
      </w:r>
    </w:p>
    <w:sectPr w:rsidR="00C13CE2" w:rsidRPr="00C13CE2" w:rsidSect="00A73C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576" w:right="720" w:bottom="576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053C9" w14:textId="77777777" w:rsidR="00713277" w:rsidRDefault="00713277" w:rsidP="0017362B">
      <w:pPr>
        <w:spacing w:line="240" w:lineRule="auto"/>
      </w:pPr>
      <w:r>
        <w:separator/>
      </w:r>
    </w:p>
  </w:endnote>
  <w:endnote w:type="continuationSeparator" w:id="0">
    <w:p w14:paraId="29D5B576" w14:textId="77777777" w:rsidR="00713277" w:rsidRDefault="00713277" w:rsidP="00173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eeZee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50F3" w14:textId="77777777" w:rsidR="0017362B" w:rsidRDefault="001736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561F" w14:textId="77777777" w:rsidR="0017362B" w:rsidRDefault="001736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CC432" w14:textId="77777777" w:rsidR="0017362B" w:rsidRDefault="00173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077B2" w14:textId="77777777" w:rsidR="00713277" w:rsidRDefault="00713277" w:rsidP="0017362B">
      <w:pPr>
        <w:spacing w:line="240" w:lineRule="auto"/>
      </w:pPr>
      <w:r>
        <w:separator/>
      </w:r>
    </w:p>
  </w:footnote>
  <w:footnote w:type="continuationSeparator" w:id="0">
    <w:p w14:paraId="0996BDD9" w14:textId="77777777" w:rsidR="00713277" w:rsidRDefault="00713277" w:rsidP="001736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AAA4" w14:textId="77777777" w:rsidR="0017362B" w:rsidRDefault="00173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CB7A1" w14:textId="77777777" w:rsidR="0017362B" w:rsidRDefault="001736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F4D91" w14:textId="77777777" w:rsidR="0017362B" w:rsidRDefault="001736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1FEA"/>
    <w:multiLevelType w:val="hybridMultilevel"/>
    <w:tmpl w:val="F15E4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2A61"/>
    <w:multiLevelType w:val="hybridMultilevel"/>
    <w:tmpl w:val="F71A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B0A40"/>
    <w:multiLevelType w:val="multilevel"/>
    <w:tmpl w:val="C1043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6958255">
    <w:abstractNumId w:val="2"/>
  </w:num>
  <w:num w:numId="2" w16cid:durableId="1688174138">
    <w:abstractNumId w:val="1"/>
  </w:num>
  <w:num w:numId="3" w16cid:durableId="29479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4F4"/>
    <w:rsid w:val="00030113"/>
    <w:rsid w:val="000566EC"/>
    <w:rsid w:val="000D2256"/>
    <w:rsid w:val="000E28E8"/>
    <w:rsid w:val="000F4703"/>
    <w:rsid w:val="0017362B"/>
    <w:rsid w:val="00235D22"/>
    <w:rsid w:val="00283325"/>
    <w:rsid w:val="00323A8A"/>
    <w:rsid w:val="004310BB"/>
    <w:rsid w:val="00431AA2"/>
    <w:rsid w:val="00536F6A"/>
    <w:rsid w:val="005433C5"/>
    <w:rsid w:val="00562712"/>
    <w:rsid w:val="005B752F"/>
    <w:rsid w:val="005F632C"/>
    <w:rsid w:val="00612ABD"/>
    <w:rsid w:val="006332A5"/>
    <w:rsid w:val="006B2FAA"/>
    <w:rsid w:val="00713277"/>
    <w:rsid w:val="007477F4"/>
    <w:rsid w:val="00765387"/>
    <w:rsid w:val="00932CD6"/>
    <w:rsid w:val="00933ECE"/>
    <w:rsid w:val="00956C23"/>
    <w:rsid w:val="00A73C5B"/>
    <w:rsid w:val="00AB49EC"/>
    <w:rsid w:val="00C104F4"/>
    <w:rsid w:val="00C13CE2"/>
    <w:rsid w:val="00C3168B"/>
    <w:rsid w:val="00C93C51"/>
    <w:rsid w:val="00CA233C"/>
    <w:rsid w:val="00D61380"/>
    <w:rsid w:val="00E24E09"/>
    <w:rsid w:val="00EE20C4"/>
    <w:rsid w:val="00F13E02"/>
    <w:rsid w:val="00FE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19C55"/>
  <w15:docId w15:val="{3278745D-0B9C-DF48-B4E5-9D4F514B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36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2B"/>
  </w:style>
  <w:style w:type="paragraph" w:styleId="Footer">
    <w:name w:val="footer"/>
    <w:basedOn w:val="Normal"/>
    <w:link w:val="FooterChar"/>
    <w:uiPriority w:val="99"/>
    <w:unhideWhenUsed/>
    <w:rsid w:val="001736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62B"/>
  </w:style>
  <w:style w:type="paragraph" w:styleId="ListParagraph">
    <w:name w:val="List Paragraph"/>
    <w:basedOn w:val="Normal"/>
    <w:uiPriority w:val="34"/>
    <w:qFormat/>
    <w:rsid w:val="0003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Dyken, Tamara</cp:lastModifiedBy>
  <cp:revision>2</cp:revision>
  <dcterms:created xsi:type="dcterms:W3CDTF">2023-01-15T21:31:00Z</dcterms:created>
  <dcterms:modified xsi:type="dcterms:W3CDTF">2023-01-15T21:31:00Z</dcterms:modified>
</cp:coreProperties>
</file>