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6"/>
        </w:rPr>
        <w:t>Note Technique</w:t>
      </w:r>
    </w:p>
    <w:p>
      <w:pPr>
        <w:jc w:val="center"/>
      </w:pPr>
      <w:r>
        <w:rPr>
          <w:b/>
          <w:color w:val="4472C4"/>
          <w:sz w:val="36"/>
        </w:rPr>
        <w:t>Segmentation sémantique d'images</w:t>
        <w:br/>
        <w:t>pour véhicules autonomes</w:t>
      </w:r>
    </w:p>
    <w:p/>
    <w:p>
      <w:pPr>
        <w:jc w:val="center"/>
      </w:pPr>
      <w:r>
        <w:rPr>
          <w:b/>
          <w:sz w:val="24"/>
        </w:rPr>
        <w:t xml:space="preserve">Projet : </w:t>
      </w:r>
      <w:r>
        <w:rPr>
          <w:sz w:val="24"/>
        </w:rPr>
        <w:t>P8 — OpenClassrooms Ingénieur IA</w:t>
      </w:r>
    </w:p>
    <w:p>
      <w:pPr>
        <w:jc w:val="center"/>
      </w:pPr>
      <w:r>
        <w:rPr>
          <w:b/>
          <w:sz w:val="24"/>
        </w:rPr>
        <w:t xml:space="preserve">Entreprise : </w:t>
      </w:r>
      <w:r>
        <w:rPr>
          <w:sz w:val="24"/>
        </w:rPr>
        <w:t>Future Vision Transport</w:t>
      </w:r>
    </w:p>
    <w:p>
      <w:pPr>
        <w:jc w:val="center"/>
      </w:pPr>
      <w:r>
        <w:rPr>
          <w:b/>
          <w:sz w:val="24"/>
        </w:rPr>
        <w:t xml:space="preserve">Auteur : </w:t>
      </w:r>
      <w:r>
        <w:rPr>
          <w:sz w:val="24"/>
        </w:rPr>
        <w:t>Équipe R&amp;D — Module Segmentation</w:t>
      </w:r>
    </w:p>
    <w:p>
      <w:pPr>
        <w:jc w:val="center"/>
      </w:pPr>
      <w:r>
        <w:rPr>
          <w:b/>
          <w:sz w:val="24"/>
        </w:rPr>
        <w:t xml:space="preserve">Date : </w:t>
      </w:r>
      <w:r>
        <w:rPr>
          <w:sz w:val="24"/>
        </w:rPr>
        <w:t>Mars 2026</w:t>
      </w:r>
    </w:p>
    <w:p>
      <w:pPr>
        <w:jc w:val="center"/>
      </w:pPr>
      <w:r>
        <w:rPr>
          <w:b/>
          <w:sz w:val="24"/>
        </w:rPr>
        <w:t xml:space="preserve">Dataset : </w:t>
      </w:r>
      <w:r>
        <w:rPr>
          <w:sz w:val="24"/>
        </w:rPr>
        <w:t>Cityscapes (Cordts et al., 2016)</w:t>
      </w:r>
    </w:p>
    <w:p>
      <w:pPr>
        <w:jc w:val="center"/>
      </w:pPr>
      <w:r>
        <w:rPr>
          <w:b/>
          <w:sz w:val="24"/>
        </w:rPr>
        <w:t xml:space="preserve">Framework : </w:t>
      </w:r>
      <w:r>
        <w:rPr>
          <w:sz w:val="24"/>
        </w:rPr>
        <w:t>TensorFlow / Keras 2.16</w:t>
      </w:r>
    </w:p>
    <w:p>
      <w:r>
        <w:br w:type="page"/>
      </w:r>
    </w:p>
    <w:p>
      <w:pPr>
        <w:pStyle w:val="Heading1"/>
        <w:jc w:val="left"/>
      </w:pPr>
      <w:r>
        <w:t>1. Introduction et contexte</w:t>
      </w:r>
    </w:p>
    <w:p>
      <w:pPr>
        <w:spacing w:before="0" w:after="120"/>
        <w:jc w:val="both"/>
      </w:pPr>
      <w:r>
        <w:rPr>
          <w:b w:val="0"/>
          <w:i w:val="0"/>
          <w:sz w:val="22"/>
        </w:rPr>
        <w:t>Future Vision Transport développe des systèmes embarqués de vision pour véhicules autonomes. La chaîne de traitement complète se décompose en quatre blocs : l'acquisition d'images (capteurs), le prétraitement des images (Franck), la segmentation sémantique (ce module) et le système de décision (Laura). Ce document présente le travail réalisé pour le bloc de segmentation.</w:t>
      </w:r>
    </w:p>
    <w:p>
      <w:pPr>
        <w:spacing w:before="0" w:after="120"/>
        <w:jc w:val="both"/>
      </w:pPr>
      <w:r>
        <w:rPr>
          <w:b w:val="0"/>
          <w:i w:val="0"/>
          <w:sz w:val="22"/>
        </w:rPr>
        <w:t>La segmentation sémantique consiste à assigner à chaque pixel d'une image une étiquette de classe. Appliquée à la conduite autonome, elle permet au véhicule de comprendre précisément son environnement : distinguer la route, les piétons, les autres véhicules, les bâtiments ou encore la végétation. C'est une brique essentielle pour toute prise de décision sécurisée en temps réel.</w:t>
      </w:r>
    </w:p>
    <w:p>
      <w:pPr>
        <w:spacing w:before="0" w:after="120"/>
        <w:jc w:val="both"/>
      </w:pPr>
      <w:r>
        <w:rPr>
          <w:b w:val="0"/>
          <w:i w:val="0"/>
          <w:sz w:val="22"/>
        </w:rPr>
        <w:t>Les objectifs du module sont les suivants :</w:t>
      </w:r>
    </w:p>
    <w:p>
      <w:pPr>
        <w:pStyle w:val="ListBullet"/>
        <w:spacing w:after="40"/>
      </w:pPr>
      <w:r>
        <w:rPr>
          <w:sz w:val="22"/>
        </w:rPr>
        <w:t>Entraîner un modèle de segmentation sur les 8 catégories principales du dataset Cityscapes.</w:t>
      </w:r>
    </w:p>
    <w:p>
      <w:pPr>
        <w:pStyle w:val="ListBullet"/>
        <w:spacing w:after="40"/>
      </w:pPr>
      <w:r>
        <w:rPr>
          <w:sz w:val="22"/>
        </w:rPr>
        <w:t>Exposer le modèle via une API REST simple (entrée : image, sortie : masque prédit).</w:t>
      </w:r>
    </w:p>
    <w:p>
      <w:pPr>
        <w:pStyle w:val="ListBullet"/>
        <w:spacing w:after="40"/>
      </w:pPr>
      <w:r>
        <w:rPr>
          <w:sz w:val="22"/>
        </w:rPr>
        <w:t>Atteindre un mIoU supérieur à 60 % avec un temps d'inférence compatible avec les contraintes embarquées.</w:t>
      </w:r>
    </w:p>
    <w:p>
      <w:pPr>
        <w:pStyle w:val="ListBullet"/>
        <w:spacing w:after="40"/>
      </w:pPr>
      <w:r>
        <w:rPr>
          <w:sz w:val="22"/>
        </w:rPr>
        <w:t>Démontrer le gain apporté par l'augmentation des données.</w:t>
      </w:r>
    </w:p>
    <w:p>
      <w:pPr>
        <w:pStyle w:val="Heading1"/>
        <w:jc w:val="left"/>
      </w:pPr>
      <w:r>
        <w:t>2. État de l'art — Segmentation sémantique</w:t>
      </w:r>
    </w:p>
    <w:p>
      <w:pPr>
        <w:pStyle w:val="Heading2"/>
        <w:jc w:val="left"/>
      </w:pPr>
      <w:r>
        <w:t>2.1  Définition et métriques</w:t>
      </w:r>
    </w:p>
    <w:p>
      <w:pPr>
        <w:spacing w:before="0" w:after="120"/>
        <w:jc w:val="both"/>
      </w:pPr>
      <w:r>
        <w:rPr>
          <w:b w:val="0"/>
          <w:i w:val="0"/>
          <w:sz w:val="22"/>
        </w:rPr>
        <w:t>La segmentation sémantique consiste à classifier chaque pixel d'une image dans une catégorie prédéfinie. Elle se distingue de la détection d'objets (bounding boxes) et de la segmentation d'instance (identification de chaque occurrence). Appliquée à la conduite autonome, elle fournit une carte complète de l'environnement pixel par pixel.</w:t>
      </w:r>
    </w:p>
    <w:p>
      <w:pPr>
        <w:spacing w:before="0" w:after="120"/>
        <w:jc w:val="both"/>
      </w:pPr>
      <w:r>
        <w:rPr>
          <w:b w:val="0"/>
          <w:i w:val="0"/>
          <w:sz w:val="22"/>
        </w:rPr>
        <w:t>Trois métriques sont couramment utilisées pour évaluer ces modèles. Le mIoU (Mean Intersection over Union) est la référence : pour chaque classe, il mesure le chevauchement entre la zone prédite et la réalité — 1.0 = parfait, 0.0 = aucun recouvrement. Le mIoU est la moyenne de ce score sur toutes les classes. Le Dice Coefficient mesure la même chose mais est plus sensible aux petits objets. Enfin, le Pixel Accuracy — proportion de pixels bien classifiés — est intuitif mais trompeur : un modèle qui prédirait "route" partout obtiendrait ~40 % sans rien apprendre d'utile.</w:t>
      </w:r>
    </w:p>
    <w:p>
      <w:pPr>
        <w:pStyle w:val="Heading2"/>
        <w:jc w:val="left"/>
      </w:pPr>
      <w:r>
        <w:t>2.2  Comparatif des architectures (benchmark Cityscapes)</w:t>
      </w:r>
    </w:p>
    <w:p>
      <w:pPr>
        <w:spacing w:before="0" w:after="120"/>
        <w:jc w:val="both"/>
      </w:pPr>
      <w:r>
        <w:rPr>
          <w:b w:val="0"/>
          <w:i w:val="0"/>
          <w:sz w:val="22"/>
        </w:rPr>
        <w:t>Plusieurs familles d'architectures se sont succédé. Les scores sont issus du benchmark officiel Cityscapes (cityscapes-dataset.com/benchmarks) et des publications originales. U-Net (Ronneberger et al., 2015), initialement conçue pour la segmentation médicale, s'est imposée comme référence grâce à ses skip connections qui préservent les détails fins lors de la reconstruction. DeepLabV3+ (Chen et al., 2018) et SegFormer (Xie et al., 2021) offrent de meilleures performances mais nécessitent des ressources incompatibles avec les contraintes embarquées du projet.</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984"/>
            <w:shd w:val="clear" w:color="auto" w:fill="1F497D"/>
          </w:tcPr>
          <w:p>
            <w:pPr>
              <w:jc w:val="center"/>
            </w:pPr>
            <w:r>
              <w:rPr>
                <w:b/>
                <w:color w:val="FFFFFF"/>
                <w:sz w:val="20"/>
              </w:rPr>
              <w:t>Architecture</w:t>
            </w:r>
          </w:p>
        </w:tc>
        <w:tc>
          <w:tcPr>
            <w:tcW w:type="dxa" w:w="1701"/>
            <w:shd w:val="clear" w:color="auto" w:fill="1F497D"/>
          </w:tcPr>
          <w:p>
            <w:pPr>
              <w:jc w:val="center"/>
            </w:pPr>
            <w:r>
              <w:rPr>
                <w:b/>
                <w:color w:val="FFFFFF"/>
                <w:sz w:val="20"/>
              </w:rPr>
              <w:t>Backbone</w:t>
            </w:r>
          </w:p>
        </w:tc>
        <w:tc>
          <w:tcPr>
            <w:tcW w:type="dxa" w:w="1417"/>
            <w:shd w:val="clear" w:color="auto" w:fill="1F497D"/>
          </w:tcPr>
          <w:p>
            <w:pPr>
              <w:jc w:val="center"/>
            </w:pPr>
            <w:r>
              <w:rPr>
                <w:b/>
                <w:color w:val="FFFFFF"/>
                <w:sz w:val="20"/>
              </w:rPr>
              <w:t>mIoU (%)</w:t>
            </w:r>
          </w:p>
        </w:tc>
        <w:tc>
          <w:tcPr>
            <w:tcW w:type="dxa" w:w="1701"/>
            <w:shd w:val="clear" w:color="auto" w:fill="1F497D"/>
          </w:tcPr>
          <w:p>
            <w:pPr>
              <w:jc w:val="center"/>
            </w:pPr>
            <w:r>
              <w:rPr>
                <w:b/>
                <w:color w:val="FFFFFF"/>
                <w:sz w:val="20"/>
              </w:rPr>
              <w:t>Paramètres</w:t>
            </w:r>
          </w:p>
        </w:tc>
        <w:tc>
          <w:tcPr>
            <w:tcW w:type="dxa" w:w="1417"/>
            <w:shd w:val="clear" w:color="auto" w:fill="1F497D"/>
          </w:tcPr>
          <w:p>
            <w:pPr>
              <w:jc w:val="center"/>
            </w:pPr>
            <w:r>
              <w:rPr>
                <w:b/>
                <w:color w:val="FFFFFF"/>
                <w:sz w:val="20"/>
              </w:rPr>
              <w:t>Vitesse</w:t>
            </w:r>
          </w:p>
        </w:tc>
      </w:tr>
      <w:tr>
        <w:tc>
          <w:tcPr>
            <w:tcW w:type="dxa" w:w="1984"/>
          </w:tcPr>
          <w:p>
            <w:pPr>
              <w:jc w:val="center"/>
            </w:pPr>
            <w:r>
              <w:rPr>
                <w:sz w:val="20"/>
              </w:rPr>
              <w:t>FCN-8s</w:t>
            </w:r>
          </w:p>
        </w:tc>
        <w:tc>
          <w:tcPr>
            <w:tcW w:type="dxa" w:w="1701"/>
          </w:tcPr>
          <w:p>
            <w:pPr>
              <w:jc w:val="center"/>
            </w:pPr>
            <w:r>
              <w:rPr>
                <w:sz w:val="20"/>
              </w:rPr>
              <w:t>VGG-16</w:t>
            </w:r>
          </w:p>
        </w:tc>
        <w:tc>
          <w:tcPr>
            <w:tcW w:type="dxa" w:w="1417"/>
          </w:tcPr>
          <w:p>
            <w:pPr>
              <w:jc w:val="center"/>
            </w:pPr>
            <w:r>
              <w:rPr>
                <w:sz w:val="20"/>
              </w:rPr>
              <w:t>65</w:t>
            </w:r>
          </w:p>
        </w:tc>
        <w:tc>
          <w:tcPr>
            <w:tcW w:type="dxa" w:w="1701"/>
          </w:tcPr>
          <w:p>
            <w:pPr>
              <w:jc w:val="center"/>
            </w:pPr>
            <w:r>
              <w:rPr>
                <w:sz w:val="20"/>
              </w:rPr>
              <w:t>~134M</w:t>
            </w:r>
          </w:p>
        </w:tc>
        <w:tc>
          <w:tcPr>
            <w:tcW w:type="dxa" w:w="1417"/>
          </w:tcPr>
          <w:p>
            <w:pPr>
              <w:jc w:val="center"/>
            </w:pPr>
            <w:r>
              <w:rPr>
                <w:sz w:val="20"/>
              </w:rPr>
              <w:t>Lente</w:t>
            </w:r>
          </w:p>
        </w:tc>
      </w:tr>
      <w:tr>
        <w:tc>
          <w:tcPr>
            <w:tcW w:type="dxa" w:w="1984"/>
            <w:shd w:val="clear" w:color="auto" w:fill="DCE6F1"/>
          </w:tcPr>
          <w:p>
            <w:pPr>
              <w:jc w:val="center"/>
            </w:pPr>
            <w:r>
              <w:rPr>
                <w:sz w:val="20"/>
              </w:rPr>
              <w:t>SegNet</w:t>
            </w:r>
          </w:p>
        </w:tc>
        <w:tc>
          <w:tcPr>
            <w:tcW w:type="dxa" w:w="1701"/>
            <w:shd w:val="clear" w:color="auto" w:fill="DCE6F1"/>
          </w:tcPr>
          <w:p>
            <w:pPr>
              <w:jc w:val="center"/>
            </w:pPr>
            <w:r>
              <w:rPr>
                <w:sz w:val="20"/>
              </w:rPr>
              <w:t>VGG-16</w:t>
            </w:r>
          </w:p>
        </w:tc>
        <w:tc>
          <w:tcPr>
            <w:tcW w:type="dxa" w:w="1417"/>
            <w:shd w:val="clear" w:color="auto" w:fill="DCE6F1"/>
          </w:tcPr>
          <w:p>
            <w:pPr>
              <w:jc w:val="center"/>
            </w:pPr>
            <w:r>
              <w:rPr>
                <w:sz w:val="20"/>
              </w:rPr>
              <w:t>57</w:t>
            </w:r>
          </w:p>
        </w:tc>
        <w:tc>
          <w:tcPr>
            <w:tcW w:type="dxa" w:w="1701"/>
            <w:shd w:val="clear" w:color="auto" w:fill="DCE6F1"/>
          </w:tcPr>
          <w:p>
            <w:pPr>
              <w:jc w:val="center"/>
            </w:pPr>
            <w:r>
              <w:rPr>
                <w:sz w:val="20"/>
              </w:rPr>
              <w:t>~29M</w:t>
            </w:r>
          </w:p>
        </w:tc>
        <w:tc>
          <w:tcPr>
            <w:tcW w:type="dxa" w:w="1417"/>
            <w:shd w:val="clear" w:color="auto" w:fill="DCE6F1"/>
          </w:tcPr>
          <w:p>
            <w:pPr>
              <w:jc w:val="center"/>
            </w:pPr>
            <w:r>
              <w:rPr>
                <w:sz w:val="20"/>
              </w:rPr>
              <w:t>Moyenne</w:t>
            </w:r>
          </w:p>
        </w:tc>
      </w:tr>
      <w:tr>
        <w:tc>
          <w:tcPr>
            <w:tcW w:type="dxa" w:w="1984"/>
          </w:tcPr>
          <w:p>
            <w:pPr>
              <w:jc w:val="center"/>
            </w:pPr>
            <w:r>
              <w:rPr>
                <w:sz w:val="20"/>
              </w:rPr>
              <w:t>U-Net</w:t>
            </w:r>
          </w:p>
        </w:tc>
        <w:tc>
          <w:tcPr>
            <w:tcW w:type="dxa" w:w="1701"/>
          </w:tcPr>
          <w:p>
            <w:pPr>
              <w:jc w:val="center"/>
            </w:pPr>
            <w:r>
              <w:rPr>
                <w:sz w:val="20"/>
              </w:rPr>
              <w:t>Custom</w:t>
            </w:r>
          </w:p>
        </w:tc>
        <w:tc>
          <w:tcPr>
            <w:tcW w:type="dxa" w:w="1417"/>
          </w:tcPr>
          <w:p>
            <w:pPr>
              <w:jc w:val="center"/>
            </w:pPr>
            <w:r>
              <w:rPr>
                <w:sz w:val="20"/>
              </w:rPr>
              <w:t>68</w:t>
            </w:r>
          </w:p>
        </w:tc>
        <w:tc>
          <w:tcPr>
            <w:tcW w:type="dxa" w:w="1701"/>
          </w:tcPr>
          <w:p>
            <w:pPr>
              <w:jc w:val="center"/>
            </w:pPr>
            <w:r>
              <w:rPr>
                <w:sz w:val="20"/>
              </w:rPr>
              <w:t>~31M</w:t>
            </w:r>
          </w:p>
        </w:tc>
        <w:tc>
          <w:tcPr>
            <w:tcW w:type="dxa" w:w="1417"/>
          </w:tcPr>
          <w:p>
            <w:pPr>
              <w:jc w:val="center"/>
            </w:pPr>
            <w:r>
              <w:rPr>
                <w:sz w:val="20"/>
              </w:rPr>
              <w:t>Rapide</w:t>
            </w:r>
          </w:p>
        </w:tc>
      </w:tr>
      <w:tr>
        <w:tc>
          <w:tcPr>
            <w:tcW w:type="dxa" w:w="1984"/>
            <w:shd w:val="clear" w:color="auto" w:fill="DCE6F1"/>
          </w:tcPr>
          <w:p>
            <w:pPr>
              <w:jc w:val="center"/>
            </w:pPr>
            <w:r>
              <w:rPr>
                <w:sz w:val="20"/>
              </w:rPr>
              <w:t>DeepLabV3+</w:t>
            </w:r>
          </w:p>
        </w:tc>
        <w:tc>
          <w:tcPr>
            <w:tcW w:type="dxa" w:w="1701"/>
            <w:shd w:val="clear" w:color="auto" w:fill="DCE6F1"/>
          </w:tcPr>
          <w:p>
            <w:pPr>
              <w:jc w:val="center"/>
            </w:pPr>
            <w:r>
              <w:rPr>
                <w:sz w:val="20"/>
              </w:rPr>
              <w:t>ResNet-101</w:t>
            </w:r>
          </w:p>
        </w:tc>
        <w:tc>
          <w:tcPr>
            <w:tcW w:type="dxa" w:w="1417"/>
            <w:shd w:val="clear" w:color="auto" w:fill="DCE6F1"/>
          </w:tcPr>
          <w:p>
            <w:pPr>
              <w:jc w:val="center"/>
            </w:pPr>
            <w:r>
              <w:rPr>
                <w:sz w:val="20"/>
              </w:rPr>
              <w:t>82</w:t>
            </w:r>
          </w:p>
        </w:tc>
        <w:tc>
          <w:tcPr>
            <w:tcW w:type="dxa" w:w="1701"/>
            <w:shd w:val="clear" w:color="auto" w:fill="DCE6F1"/>
          </w:tcPr>
          <w:p>
            <w:pPr>
              <w:jc w:val="center"/>
            </w:pPr>
            <w:r>
              <w:rPr>
                <w:sz w:val="20"/>
              </w:rPr>
              <w:t>~59M</w:t>
            </w:r>
          </w:p>
        </w:tc>
        <w:tc>
          <w:tcPr>
            <w:tcW w:type="dxa" w:w="1417"/>
            <w:shd w:val="clear" w:color="auto" w:fill="DCE6F1"/>
          </w:tcPr>
          <w:p>
            <w:pPr>
              <w:jc w:val="center"/>
            </w:pPr>
            <w:r>
              <w:rPr>
                <w:sz w:val="20"/>
              </w:rPr>
              <w:t>Moyenne</w:t>
            </w:r>
          </w:p>
        </w:tc>
      </w:tr>
      <w:tr>
        <w:tc>
          <w:tcPr>
            <w:tcW w:type="dxa" w:w="1984"/>
          </w:tcPr>
          <w:p>
            <w:pPr>
              <w:jc w:val="center"/>
            </w:pPr>
            <w:r>
              <w:rPr>
                <w:sz w:val="20"/>
              </w:rPr>
              <w:t>SegFormer-B5</w:t>
            </w:r>
          </w:p>
        </w:tc>
        <w:tc>
          <w:tcPr>
            <w:tcW w:type="dxa" w:w="1701"/>
          </w:tcPr>
          <w:p>
            <w:pPr>
              <w:jc w:val="center"/>
            </w:pPr>
            <w:r>
              <w:rPr>
                <w:sz w:val="20"/>
              </w:rPr>
              <w:t>MiT-B5</w:t>
            </w:r>
          </w:p>
        </w:tc>
        <w:tc>
          <w:tcPr>
            <w:tcW w:type="dxa" w:w="1417"/>
          </w:tcPr>
          <w:p>
            <w:pPr>
              <w:jc w:val="center"/>
            </w:pPr>
            <w:r>
              <w:rPr>
                <w:sz w:val="20"/>
              </w:rPr>
              <w:t>84</w:t>
            </w:r>
          </w:p>
        </w:tc>
        <w:tc>
          <w:tcPr>
            <w:tcW w:type="dxa" w:w="1701"/>
          </w:tcPr>
          <w:p>
            <w:pPr>
              <w:jc w:val="center"/>
            </w:pPr>
            <w:r>
              <w:rPr>
                <w:sz w:val="20"/>
              </w:rPr>
              <w:t>~85M</w:t>
            </w:r>
          </w:p>
        </w:tc>
        <w:tc>
          <w:tcPr>
            <w:tcW w:type="dxa" w:w="1417"/>
          </w:tcPr>
          <w:p>
            <w:pPr>
              <w:jc w:val="center"/>
            </w:pPr>
            <w:r>
              <w:rPr>
                <w:sz w:val="20"/>
              </w:rPr>
              <w:t>Lente</w:t>
            </w:r>
          </w:p>
        </w:tc>
      </w:tr>
      <w:tr>
        <w:tc>
          <w:tcPr>
            <w:tcW w:type="dxa" w:w="1984"/>
            <w:shd w:val="clear" w:color="auto" w:fill="DCE6F1"/>
          </w:tcPr>
          <w:p>
            <w:pPr>
              <w:jc w:val="center"/>
            </w:pPr>
            <w:r>
              <w:rPr>
                <w:sz w:val="20"/>
              </w:rPr>
              <w:t>Notre modèle</w:t>
            </w:r>
          </w:p>
        </w:tc>
        <w:tc>
          <w:tcPr>
            <w:tcW w:type="dxa" w:w="1701"/>
            <w:shd w:val="clear" w:color="auto" w:fill="DCE6F1"/>
          </w:tcPr>
          <w:p>
            <w:pPr>
              <w:jc w:val="center"/>
            </w:pPr>
            <w:r>
              <w:rPr>
                <w:sz w:val="20"/>
              </w:rPr>
              <w:t>MobileNetV2</w:t>
            </w:r>
          </w:p>
        </w:tc>
        <w:tc>
          <w:tcPr>
            <w:tcW w:type="dxa" w:w="1417"/>
            <w:shd w:val="clear" w:color="auto" w:fill="DCE6F1"/>
          </w:tcPr>
          <w:p>
            <w:pPr>
              <w:jc w:val="center"/>
            </w:pPr>
            <w:r>
              <w:rPr>
                <w:sz w:val="20"/>
              </w:rPr>
              <w:t>74</w:t>
            </w:r>
          </w:p>
        </w:tc>
        <w:tc>
          <w:tcPr>
            <w:tcW w:type="dxa" w:w="1701"/>
            <w:shd w:val="clear" w:color="auto" w:fill="DCE6F1"/>
          </w:tcPr>
          <w:p>
            <w:pPr>
              <w:jc w:val="center"/>
            </w:pPr>
            <w:r>
              <w:rPr>
                <w:sz w:val="20"/>
              </w:rPr>
              <w:t>~4M</w:t>
            </w:r>
          </w:p>
        </w:tc>
        <w:tc>
          <w:tcPr>
            <w:tcW w:type="dxa" w:w="1417"/>
            <w:shd w:val="clear" w:color="auto" w:fill="DCE6F1"/>
          </w:tcPr>
          <w:p>
            <w:pPr>
              <w:jc w:val="center"/>
            </w:pPr>
            <w:r>
              <w:rPr>
                <w:sz w:val="20"/>
              </w:rPr>
              <w:t>Très rapide</w:t>
            </w:r>
          </w:p>
        </w:tc>
      </w:tr>
    </w:tbl>
    <w:p/>
    <w:p>
      <w:pPr>
        <w:spacing w:before="0" w:after="120"/>
        <w:jc w:val="both"/>
      </w:pPr>
      <w:r>
        <w:rPr>
          <w:b w:val="0"/>
          <w:i w:val="0"/>
          <w:sz w:val="22"/>
        </w:rPr>
        <w:t>Notre choix de U-Net avec backbone MobileNetV2 représente un compromis optimal entre performance (74 % mIoU) et légèreté (~4M paramètres), adapté aux contraintes temps réel d'un système embarqué.</w:t>
      </w:r>
    </w:p>
    <w:p>
      <w:r>
        <w:br w:type="page"/>
      </w:r>
    </w:p>
    <w:p>
      <w:pPr>
        <w:pStyle w:val="Heading1"/>
        <w:jc w:val="left"/>
      </w:pPr>
      <w:r>
        <w:t>3. Dataset Cityscapes et prétraitement</w:t>
      </w:r>
    </w:p>
    <w:p>
      <w:pPr>
        <w:pStyle w:val="Heading2"/>
        <w:jc w:val="left"/>
      </w:pPr>
      <w:r>
        <w:t>3.1  Présentation du dataset</w:t>
      </w:r>
    </w:p>
    <w:p>
      <w:pPr>
        <w:spacing w:before="0" w:after="120"/>
        <w:jc w:val="both"/>
      </w:pPr>
      <w:r>
        <w:rPr>
          <w:b w:val="0"/>
          <w:i w:val="0"/>
          <w:sz w:val="22"/>
        </w:rPr>
        <w:t>Cityscapes (Cordts et al., 2016) est le dataset de référence pour la segmentation sémantique en conduite autonome. Il contient des images haute résolution (2048×1024 pixels) prises en conditions réelles dans 27 villes allemandes, avec des annotations pixel-perfect.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701"/>
            <w:shd w:val="clear" w:color="auto" w:fill="1F497D"/>
          </w:tcPr>
          <w:p>
            <w:pPr>
              <w:jc w:val="center"/>
            </w:pPr>
            <w:r>
              <w:rPr>
                <w:b/>
                <w:color w:val="FFFFFF"/>
                <w:sz w:val="20"/>
              </w:rPr>
              <w:t>Split</w:t>
            </w:r>
          </w:p>
        </w:tc>
        <w:tc>
          <w:tcPr>
            <w:tcW w:type="dxa" w:w="1701"/>
            <w:shd w:val="clear" w:color="auto" w:fill="1F497D"/>
          </w:tcPr>
          <w:p>
            <w:pPr>
              <w:jc w:val="center"/>
            </w:pPr>
            <w:r>
              <w:rPr>
                <w:b/>
                <w:color w:val="FFFFFF"/>
                <w:sz w:val="20"/>
              </w:rPr>
              <w:t>Images</w:t>
            </w:r>
          </w:p>
        </w:tc>
        <w:tc>
          <w:tcPr>
            <w:tcW w:type="dxa" w:w="1984"/>
            <w:shd w:val="clear" w:color="auto" w:fill="1F497D"/>
          </w:tcPr>
          <w:p>
            <w:pPr>
              <w:jc w:val="center"/>
            </w:pPr>
            <w:r>
              <w:rPr>
                <w:b/>
                <w:color w:val="FFFFFF"/>
                <w:sz w:val="20"/>
              </w:rPr>
              <w:t>Villes</w:t>
            </w:r>
          </w:p>
        </w:tc>
        <w:tc>
          <w:tcPr>
            <w:tcW w:type="dxa" w:w="2835"/>
            <w:shd w:val="clear" w:color="auto" w:fill="1F497D"/>
          </w:tcPr>
          <w:p>
            <w:pPr>
              <w:jc w:val="center"/>
            </w:pPr>
            <w:r>
              <w:rPr>
                <w:b/>
                <w:color w:val="FFFFFF"/>
                <w:sz w:val="20"/>
              </w:rPr>
              <w:t>Annotations</w:t>
            </w:r>
          </w:p>
        </w:tc>
      </w:tr>
      <w:tr>
        <w:tc>
          <w:tcPr>
            <w:tcW w:type="dxa" w:w="1701"/>
          </w:tcPr>
          <w:p>
            <w:pPr>
              <w:jc w:val="center"/>
            </w:pPr>
            <w:r>
              <w:rPr>
                <w:sz w:val="20"/>
              </w:rPr>
              <w:t>Train</w:t>
            </w:r>
          </w:p>
        </w:tc>
        <w:tc>
          <w:tcPr>
            <w:tcW w:type="dxa" w:w="1701"/>
          </w:tcPr>
          <w:p>
            <w:pPr>
              <w:jc w:val="center"/>
            </w:pPr>
            <w:r>
              <w:rPr>
                <w:sz w:val="20"/>
              </w:rPr>
              <w:t>2 975</w:t>
            </w:r>
          </w:p>
        </w:tc>
        <w:tc>
          <w:tcPr>
            <w:tcW w:type="dxa" w:w="1984"/>
          </w:tcPr>
          <w:p>
            <w:pPr>
              <w:jc w:val="center"/>
            </w:pPr>
            <w:r>
              <w:rPr>
                <w:sz w:val="20"/>
              </w:rPr>
              <w:t>18 villes</w:t>
            </w:r>
          </w:p>
        </w:tc>
        <w:tc>
          <w:tcPr>
            <w:tcW w:type="dxa" w:w="2835"/>
          </w:tcPr>
          <w:p>
            <w:pPr>
              <w:jc w:val="center"/>
            </w:pPr>
            <w:r>
              <w:rPr>
                <w:sz w:val="20"/>
              </w:rPr>
              <w:t>Fines (pixel-level)</w:t>
            </w:r>
          </w:p>
        </w:tc>
      </w:tr>
      <w:tr>
        <w:tc>
          <w:tcPr>
            <w:tcW w:type="dxa" w:w="1701"/>
            <w:shd w:val="clear" w:color="auto" w:fill="DCE6F1"/>
          </w:tcPr>
          <w:p>
            <w:pPr>
              <w:jc w:val="center"/>
            </w:pPr>
            <w:r>
              <w:rPr>
                <w:sz w:val="20"/>
              </w:rPr>
              <w:t>Validation</w:t>
            </w:r>
          </w:p>
        </w:tc>
        <w:tc>
          <w:tcPr>
            <w:tcW w:type="dxa" w:w="1701"/>
            <w:shd w:val="clear" w:color="auto" w:fill="DCE6F1"/>
          </w:tcPr>
          <w:p>
            <w:pPr>
              <w:jc w:val="center"/>
            </w:pPr>
            <w:r>
              <w:rPr>
                <w:sz w:val="20"/>
              </w:rPr>
              <w:t>500</w:t>
            </w:r>
          </w:p>
        </w:tc>
        <w:tc>
          <w:tcPr>
            <w:tcW w:type="dxa" w:w="1984"/>
            <w:shd w:val="clear" w:color="auto" w:fill="DCE6F1"/>
          </w:tcPr>
          <w:p>
            <w:pPr>
              <w:jc w:val="center"/>
            </w:pPr>
            <w:r>
              <w:rPr>
                <w:sz w:val="20"/>
              </w:rPr>
              <w:t>3 villes</w:t>
            </w:r>
          </w:p>
        </w:tc>
        <w:tc>
          <w:tcPr>
            <w:tcW w:type="dxa" w:w="2835"/>
            <w:shd w:val="clear" w:color="auto" w:fill="DCE6F1"/>
          </w:tcPr>
          <w:p>
            <w:pPr>
              <w:jc w:val="center"/>
            </w:pPr>
            <w:r>
              <w:rPr>
                <w:sz w:val="20"/>
              </w:rPr>
              <w:t>Fines (pixel-level)</w:t>
            </w:r>
          </w:p>
        </w:tc>
      </w:tr>
      <w:tr>
        <w:tc>
          <w:tcPr>
            <w:tcW w:type="dxa" w:w="1701"/>
          </w:tcPr>
          <w:p>
            <w:pPr>
              <w:jc w:val="center"/>
            </w:pPr>
            <w:r>
              <w:rPr>
                <w:sz w:val="20"/>
              </w:rPr>
              <w:t>Test</w:t>
            </w:r>
          </w:p>
        </w:tc>
        <w:tc>
          <w:tcPr>
            <w:tcW w:type="dxa" w:w="1701"/>
          </w:tcPr>
          <w:p>
            <w:pPr>
              <w:jc w:val="center"/>
            </w:pPr>
            <w:r>
              <w:rPr>
                <w:sz w:val="20"/>
              </w:rPr>
              <w:t>1 525</w:t>
            </w:r>
          </w:p>
        </w:tc>
        <w:tc>
          <w:tcPr>
            <w:tcW w:type="dxa" w:w="1984"/>
          </w:tcPr>
          <w:p>
            <w:pPr>
              <w:jc w:val="center"/>
            </w:pPr>
            <w:r>
              <w:rPr>
                <w:sz w:val="20"/>
              </w:rPr>
              <w:t>6 villes</w:t>
            </w:r>
          </w:p>
        </w:tc>
        <w:tc>
          <w:tcPr>
            <w:tcW w:type="dxa" w:w="2835"/>
          </w:tcPr>
          <w:p>
            <w:pPr>
              <w:jc w:val="center"/>
            </w:pPr>
            <w:r>
              <w:rPr>
                <w:sz w:val="20"/>
              </w:rPr>
              <w:t>Non publiques</w:t>
            </w:r>
          </w:p>
        </w:tc>
      </w:tr>
    </w:tbl>
    <w:p/>
    <w:p>
      <w:pPr>
        <w:spacing w:before="0" w:after="120"/>
        <w:jc w:val="both"/>
      </w:pPr>
      <w:r>
        <w:rPr>
          <w:b w:val="0"/>
          <w:i w:val="0"/>
          <w:sz w:val="22"/>
        </w:rPr>
        <w:t>Le dataset original propose 32 classes de segmentation (sous-catégories détaillées). Conformément aux exigences du projet, nous regroupons ces 32 classes en 8 catégories principales, qui correspondent aux grandes familles d'éléments de la scène routière :</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680"/>
            <w:shd w:val="clear" w:color="auto" w:fill="1F497D"/>
          </w:tcPr>
          <w:p>
            <w:pPr>
              <w:jc w:val="center"/>
            </w:pPr>
            <w:r>
              <w:rPr>
                <w:b/>
                <w:color w:val="FFFFFF"/>
                <w:sz w:val="20"/>
              </w:rPr>
              <w:t>ID</w:t>
            </w:r>
          </w:p>
        </w:tc>
        <w:tc>
          <w:tcPr>
            <w:tcW w:type="dxa" w:w="1587"/>
            <w:shd w:val="clear" w:color="auto" w:fill="1F497D"/>
          </w:tcPr>
          <w:p>
            <w:pPr>
              <w:jc w:val="center"/>
            </w:pPr>
            <w:r>
              <w:rPr>
                <w:b/>
                <w:color w:val="FFFFFF"/>
                <w:sz w:val="20"/>
              </w:rPr>
              <w:t>Catégorie</w:t>
            </w:r>
          </w:p>
        </w:tc>
        <w:tc>
          <w:tcPr>
            <w:tcW w:type="dxa" w:w="3118"/>
            <w:shd w:val="clear" w:color="auto" w:fill="1F497D"/>
          </w:tcPr>
          <w:p>
            <w:pPr>
              <w:jc w:val="center"/>
            </w:pPr>
            <w:r>
              <w:rPr>
                <w:b/>
                <w:color w:val="FFFFFF"/>
                <w:sz w:val="20"/>
              </w:rPr>
              <w:t>Éléments couverts</w:t>
            </w:r>
          </w:p>
        </w:tc>
        <w:tc>
          <w:tcPr>
            <w:tcW w:type="dxa" w:w="2268"/>
            <w:shd w:val="clear" w:color="auto" w:fill="1F497D"/>
          </w:tcPr>
          <w:p>
            <w:pPr>
              <w:jc w:val="center"/>
            </w:pPr>
            <w:r>
              <w:rPr>
                <w:b/>
                <w:color w:val="FFFFFF"/>
                <w:sz w:val="20"/>
              </w:rPr>
              <w:t>LabelIds d'origine</w:t>
            </w:r>
          </w:p>
        </w:tc>
      </w:tr>
      <w:tr>
        <w:tc>
          <w:tcPr>
            <w:tcW w:type="dxa" w:w="680"/>
          </w:tcPr>
          <w:p>
            <w:pPr>
              <w:jc w:val="center"/>
            </w:pPr>
            <w:r>
              <w:rPr>
                <w:sz w:val="20"/>
              </w:rPr>
              <w:t>0</w:t>
            </w:r>
          </w:p>
        </w:tc>
        <w:tc>
          <w:tcPr>
            <w:tcW w:type="dxa" w:w="1587"/>
          </w:tcPr>
          <w:p>
            <w:pPr>
              <w:jc w:val="center"/>
            </w:pPr>
            <w:r>
              <w:rPr>
                <w:sz w:val="20"/>
              </w:rPr>
              <w:t>void</w:t>
            </w:r>
          </w:p>
        </w:tc>
        <w:tc>
          <w:tcPr>
            <w:tcW w:type="dxa" w:w="3118"/>
          </w:tcPr>
          <w:p>
            <w:pPr>
              <w:jc w:val="center"/>
            </w:pPr>
            <w:r>
              <w:rPr>
                <w:sz w:val="20"/>
              </w:rPr>
              <w:t>Pixels non classifiés, ciel de fond</w:t>
            </w:r>
          </w:p>
        </w:tc>
        <w:tc>
          <w:tcPr>
            <w:tcW w:type="dxa" w:w="2268"/>
          </w:tcPr>
          <w:p>
            <w:pPr>
              <w:jc w:val="center"/>
            </w:pPr>
            <w:r>
              <w:rPr>
                <w:sz w:val="20"/>
              </w:rPr>
              <w:t>0–6</w:t>
            </w:r>
          </w:p>
        </w:tc>
      </w:tr>
      <w:tr>
        <w:tc>
          <w:tcPr>
            <w:tcW w:type="dxa" w:w="680"/>
            <w:shd w:val="clear" w:color="auto" w:fill="DCE6F1"/>
          </w:tcPr>
          <w:p>
            <w:pPr>
              <w:jc w:val="center"/>
            </w:pPr>
            <w:r>
              <w:rPr>
                <w:sz w:val="20"/>
              </w:rPr>
              <w:t>1</w:t>
            </w:r>
          </w:p>
        </w:tc>
        <w:tc>
          <w:tcPr>
            <w:tcW w:type="dxa" w:w="1587"/>
            <w:shd w:val="clear" w:color="auto" w:fill="DCE6F1"/>
          </w:tcPr>
          <w:p>
            <w:pPr>
              <w:jc w:val="center"/>
            </w:pPr>
            <w:r>
              <w:rPr>
                <w:sz w:val="20"/>
              </w:rPr>
              <w:t>flat</w:t>
            </w:r>
          </w:p>
        </w:tc>
        <w:tc>
          <w:tcPr>
            <w:tcW w:type="dxa" w:w="3118"/>
            <w:shd w:val="clear" w:color="auto" w:fill="DCE6F1"/>
          </w:tcPr>
          <w:p>
            <w:pPr>
              <w:jc w:val="center"/>
            </w:pPr>
            <w:r>
              <w:rPr>
                <w:sz w:val="20"/>
              </w:rPr>
              <w:t>Route, trottoir, parking</w:t>
            </w:r>
          </w:p>
        </w:tc>
        <w:tc>
          <w:tcPr>
            <w:tcW w:type="dxa" w:w="2268"/>
            <w:shd w:val="clear" w:color="auto" w:fill="DCE6F1"/>
          </w:tcPr>
          <w:p>
            <w:pPr>
              <w:jc w:val="center"/>
            </w:pPr>
            <w:r>
              <w:rPr>
                <w:sz w:val="20"/>
              </w:rPr>
              <w:t>7–10</w:t>
            </w:r>
          </w:p>
        </w:tc>
      </w:tr>
      <w:tr>
        <w:tc>
          <w:tcPr>
            <w:tcW w:type="dxa" w:w="680"/>
          </w:tcPr>
          <w:p>
            <w:pPr>
              <w:jc w:val="center"/>
            </w:pPr>
            <w:r>
              <w:rPr>
                <w:sz w:val="20"/>
              </w:rPr>
              <w:t>2</w:t>
            </w:r>
          </w:p>
        </w:tc>
        <w:tc>
          <w:tcPr>
            <w:tcW w:type="dxa" w:w="1587"/>
          </w:tcPr>
          <w:p>
            <w:pPr>
              <w:jc w:val="center"/>
            </w:pPr>
            <w:r>
              <w:rPr>
                <w:sz w:val="20"/>
              </w:rPr>
              <w:t>construction</w:t>
            </w:r>
          </w:p>
        </w:tc>
        <w:tc>
          <w:tcPr>
            <w:tcW w:type="dxa" w:w="3118"/>
          </w:tcPr>
          <w:p>
            <w:pPr>
              <w:jc w:val="center"/>
            </w:pPr>
            <w:r>
              <w:rPr>
                <w:sz w:val="20"/>
              </w:rPr>
              <w:t>Bâtiments, murs, clôtures, ponts</w:t>
            </w:r>
          </w:p>
        </w:tc>
        <w:tc>
          <w:tcPr>
            <w:tcW w:type="dxa" w:w="2268"/>
          </w:tcPr>
          <w:p>
            <w:pPr>
              <w:jc w:val="center"/>
            </w:pPr>
            <w:r>
              <w:rPr>
                <w:sz w:val="20"/>
              </w:rPr>
              <w:t>11–16</w:t>
            </w:r>
          </w:p>
        </w:tc>
      </w:tr>
      <w:tr>
        <w:tc>
          <w:tcPr>
            <w:tcW w:type="dxa" w:w="680"/>
            <w:shd w:val="clear" w:color="auto" w:fill="DCE6F1"/>
          </w:tcPr>
          <w:p>
            <w:pPr>
              <w:jc w:val="center"/>
            </w:pPr>
            <w:r>
              <w:rPr>
                <w:sz w:val="20"/>
              </w:rPr>
              <w:t>3</w:t>
            </w:r>
          </w:p>
        </w:tc>
        <w:tc>
          <w:tcPr>
            <w:tcW w:type="dxa" w:w="1587"/>
            <w:shd w:val="clear" w:color="auto" w:fill="DCE6F1"/>
          </w:tcPr>
          <w:p>
            <w:pPr>
              <w:jc w:val="center"/>
            </w:pPr>
            <w:r>
              <w:rPr>
                <w:sz w:val="20"/>
              </w:rPr>
              <w:t>object</w:t>
            </w:r>
          </w:p>
        </w:tc>
        <w:tc>
          <w:tcPr>
            <w:tcW w:type="dxa" w:w="3118"/>
            <w:shd w:val="clear" w:color="auto" w:fill="DCE6F1"/>
          </w:tcPr>
          <w:p>
            <w:pPr>
              <w:jc w:val="center"/>
            </w:pPr>
            <w:r>
              <w:rPr>
                <w:sz w:val="20"/>
              </w:rPr>
              <w:t>Poteaux, panneaux, feux de signalisation</w:t>
            </w:r>
          </w:p>
        </w:tc>
        <w:tc>
          <w:tcPr>
            <w:tcW w:type="dxa" w:w="2268"/>
            <w:shd w:val="clear" w:color="auto" w:fill="DCE6F1"/>
          </w:tcPr>
          <w:p>
            <w:pPr>
              <w:jc w:val="center"/>
            </w:pPr>
            <w:r>
              <w:rPr>
                <w:sz w:val="20"/>
              </w:rPr>
              <w:t>17–20</w:t>
            </w:r>
          </w:p>
        </w:tc>
      </w:tr>
      <w:tr>
        <w:tc>
          <w:tcPr>
            <w:tcW w:type="dxa" w:w="680"/>
          </w:tcPr>
          <w:p>
            <w:pPr>
              <w:jc w:val="center"/>
            </w:pPr>
            <w:r>
              <w:rPr>
                <w:sz w:val="20"/>
              </w:rPr>
              <w:t>4</w:t>
            </w:r>
          </w:p>
        </w:tc>
        <w:tc>
          <w:tcPr>
            <w:tcW w:type="dxa" w:w="1587"/>
          </w:tcPr>
          <w:p>
            <w:pPr>
              <w:jc w:val="center"/>
            </w:pPr>
            <w:r>
              <w:rPr>
                <w:sz w:val="20"/>
              </w:rPr>
              <w:t>nature</w:t>
            </w:r>
          </w:p>
        </w:tc>
        <w:tc>
          <w:tcPr>
            <w:tcW w:type="dxa" w:w="3118"/>
          </w:tcPr>
          <w:p>
            <w:pPr>
              <w:jc w:val="center"/>
            </w:pPr>
            <w:r>
              <w:rPr>
                <w:sz w:val="20"/>
              </w:rPr>
              <w:t>Végétation, terrain</w:t>
            </w:r>
          </w:p>
        </w:tc>
        <w:tc>
          <w:tcPr>
            <w:tcW w:type="dxa" w:w="2268"/>
          </w:tcPr>
          <w:p>
            <w:pPr>
              <w:jc w:val="center"/>
            </w:pPr>
            <w:r>
              <w:rPr>
                <w:sz w:val="20"/>
              </w:rPr>
              <w:t>21–22</w:t>
            </w:r>
          </w:p>
        </w:tc>
      </w:tr>
      <w:tr>
        <w:tc>
          <w:tcPr>
            <w:tcW w:type="dxa" w:w="680"/>
            <w:shd w:val="clear" w:color="auto" w:fill="DCE6F1"/>
          </w:tcPr>
          <w:p>
            <w:pPr>
              <w:jc w:val="center"/>
            </w:pPr>
            <w:r>
              <w:rPr>
                <w:sz w:val="20"/>
              </w:rPr>
              <w:t>5</w:t>
            </w:r>
          </w:p>
        </w:tc>
        <w:tc>
          <w:tcPr>
            <w:tcW w:type="dxa" w:w="1587"/>
            <w:shd w:val="clear" w:color="auto" w:fill="DCE6F1"/>
          </w:tcPr>
          <w:p>
            <w:pPr>
              <w:jc w:val="center"/>
            </w:pPr>
            <w:r>
              <w:rPr>
                <w:sz w:val="20"/>
              </w:rPr>
              <w:t>sky</w:t>
            </w:r>
          </w:p>
        </w:tc>
        <w:tc>
          <w:tcPr>
            <w:tcW w:type="dxa" w:w="3118"/>
            <w:shd w:val="clear" w:color="auto" w:fill="DCE6F1"/>
          </w:tcPr>
          <w:p>
            <w:pPr>
              <w:jc w:val="center"/>
            </w:pPr>
            <w:r>
              <w:rPr>
                <w:sz w:val="20"/>
              </w:rPr>
              <w:t>Ciel</w:t>
            </w:r>
          </w:p>
        </w:tc>
        <w:tc>
          <w:tcPr>
            <w:tcW w:type="dxa" w:w="2268"/>
            <w:shd w:val="clear" w:color="auto" w:fill="DCE6F1"/>
          </w:tcPr>
          <w:p>
            <w:pPr>
              <w:jc w:val="center"/>
            </w:pPr>
            <w:r>
              <w:rPr>
                <w:sz w:val="20"/>
              </w:rPr>
              <w:t>23</w:t>
            </w:r>
          </w:p>
        </w:tc>
      </w:tr>
      <w:tr>
        <w:tc>
          <w:tcPr>
            <w:tcW w:type="dxa" w:w="680"/>
          </w:tcPr>
          <w:p>
            <w:pPr>
              <w:jc w:val="center"/>
            </w:pPr>
            <w:r>
              <w:rPr>
                <w:sz w:val="20"/>
              </w:rPr>
              <w:t>6</w:t>
            </w:r>
          </w:p>
        </w:tc>
        <w:tc>
          <w:tcPr>
            <w:tcW w:type="dxa" w:w="1587"/>
          </w:tcPr>
          <w:p>
            <w:pPr>
              <w:jc w:val="center"/>
            </w:pPr>
            <w:r>
              <w:rPr>
                <w:sz w:val="20"/>
              </w:rPr>
              <w:t>human</w:t>
            </w:r>
          </w:p>
        </w:tc>
        <w:tc>
          <w:tcPr>
            <w:tcW w:type="dxa" w:w="3118"/>
          </w:tcPr>
          <w:p>
            <w:pPr>
              <w:jc w:val="center"/>
            </w:pPr>
            <w:r>
              <w:rPr>
                <w:sz w:val="20"/>
              </w:rPr>
              <w:t>Personnes, cyclistes</w:t>
            </w:r>
          </w:p>
        </w:tc>
        <w:tc>
          <w:tcPr>
            <w:tcW w:type="dxa" w:w="2268"/>
          </w:tcPr>
          <w:p>
            <w:pPr>
              <w:jc w:val="center"/>
            </w:pPr>
            <w:r>
              <w:rPr>
                <w:sz w:val="20"/>
              </w:rPr>
              <w:t>24–25</w:t>
            </w:r>
          </w:p>
        </w:tc>
      </w:tr>
      <w:tr>
        <w:tc>
          <w:tcPr>
            <w:tcW w:type="dxa" w:w="680"/>
            <w:shd w:val="clear" w:color="auto" w:fill="DCE6F1"/>
          </w:tcPr>
          <w:p>
            <w:pPr>
              <w:jc w:val="center"/>
            </w:pPr>
            <w:r>
              <w:rPr>
                <w:sz w:val="20"/>
              </w:rPr>
              <w:t>7</w:t>
            </w:r>
          </w:p>
        </w:tc>
        <w:tc>
          <w:tcPr>
            <w:tcW w:type="dxa" w:w="1587"/>
            <w:shd w:val="clear" w:color="auto" w:fill="DCE6F1"/>
          </w:tcPr>
          <w:p>
            <w:pPr>
              <w:jc w:val="center"/>
            </w:pPr>
            <w:r>
              <w:rPr>
                <w:sz w:val="20"/>
              </w:rPr>
              <w:t>vehicle</w:t>
            </w:r>
          </w:p>
        </w:tc>
        <w:tc>
          <w:tcPr>
            <w:tcW w:type="dxa" w:w="3118"/>
            <w:shd w:val="clear" w:color="auto" w:fill="DCE6F1"/>
          </w:tcPr>
          <w:p>
            <w:pPr>
              <w:jc w:val="center"/>
            </w:pPr>
            <w:r>
              <w:rPr>
                <w:sz w:val="20"/>
              </w:rPr>
              <w:t>Voitures, camions, bus, trains, motos</w:t>
            </w:r>
          </w:p>
        </w:tc>
        <w:tc>
          <w:tcPr>
            <w:tcW w:type="dxa" w:w="2268"/>
            <w:shd w:val="clear" w:color="auto" w:fill="DCE6F1"/>
          </w:tcPr>
          <w:p>
            <w:pPr>
              <w:jc w:val="center"/>
            </w:pPr>
            <w:r>
              <w:rPr>
                <w:sz w:val="20"/>
              </w:rPr>
              <w:t>26–33</w:t>
            </w:r>
          </w:p>
        </w:tc>
      </w:tr>
    </w:tbl>
    <w:p/>
    <w:p>
      <w:pPr>
        <w:pStyle w:val="Heading2"/>
        <w:jc w:val="left"/>
      </w:pPr>
      <w:r>
        <w:t>3.2  Déséquilibre des classes</w:t>
      </w:r>
    </w:p>
    <w:p>
      <w:pPr>
        <w:spacing w:before="0" w:after="120"/>
        <w:jc w:val="both"/>
      </w:pPr>
      <w:r>
        <w:rPr>
          <w:b w:val="0"/>
          <w:i w:val="0"/>
          <w:sz w:val="22"/>
        </w:rPr>
        <w:t>L'analyse exploratoire du dataset révèle un fort déséquilibre entre les classes. La classe flat (route, trottoir) représente environ 40 % des pixels, tandis que les classes human et vehicle — pourtant critiques pour la sécurité — représentent moins de 5 % chacune. Ce déséquilibre, s'il n'est pas traité, entraîne un modèle biaisé vers les classes majoritaires.</w:t>
      </w:r>
    </w:p>
    <w:p>
      <w:pPr>
        <w:spacing w:before="80"/>
        <w:jc w:val="center"/>
      </w:pPr>
      <w:r>
        <w:drawing>
          <wp:inline xmlns:a="http://schemas.openxmlformats.org/drawingml/2006/main" xmlns:pic="http://schemas.openxmlformats.org/drawingml/2006/picture">
            <wp:extent cx="4680000" cy="1642381"/>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4680000" cy="1642381"/>
                    </a:xfrm>
                    <a:prstGeom prst="rect"/>
                  </pic:spPr>
                </pic:pic>
              </a:graphicData>
            </a:graphic>
          </wp:inline>
        </w:drawing>
      </w:r>
    </w:p>
    <w:p>
      <w:pPr>
        <w:spacing w:after="160"/>
        <w:jc w:val="center"/>
      </w:pPr>
      <w:r>
        <w:rPr>
          <w:i/>
          <w:color w:val="646464"/>
          <w:sz w:val="18"/>
        </w:rPr>
        <w:t>Figure 1 — Distribution des classes dans le dataset Cityscapes (train set)</w:t>
      </w:r>
    </w:p>
    <w:p>
      <w:pPr>
        <w:spacing w:before="0" w:after="120"/>
        <w:jc w:val="both"/>
      </w:pPr>
      <w:r>
        <w:rPr>
          <w:b w:val="0"/>
          <w:i w:val="0"/>
          <w:sz w:val="22"/>
        </w:rPr>
        <w:t>Deux mécanismes sont mis en place pour compenser ce déséquilibre :</w:t>
      </w:r>
    </w:p>
    <w:p>
      <w:pPr>
        <w:pStyle w:val="ListBullet"/>
        <w:spacing w:after="40"/>
      </w:pPr>
      <w:r>
        <w:rPr>
          <w:sz w:val="22"/>
        </w:rPr>
        <w:t>Loss pondérée : chaque classe reçoit un poids inversement proportionnel à sa fréquence dans le dataset. Les erreurs sur human et vehicle sont ainsi plus fortement pénalisées.</w:t>
      </w:r>
    </w:p>
    <w:p>
      <w:pPr>
        <w:pStyle w:val="ListBullet"/>
        <w:spacing w:after="40"/>
      </w:pPr>
      <w:r>
        <w:rPr>
          <w:sz w:val="22"/>
        </w:rPr>
        <w:t>Oversampling des classes rares : lors de l'entraînement avec augmentation, les images contenant des piétons ou des véhicules sont sur-représentées (facteur ×3) dans les batches.</w:t>
      </w:r>
    </w:p>
    <w:p>
      <w:pPr>
        <w:pStyle w:val="Heading2"/>
        <w:jc w:val="left"/>
      </w:pPr>
      <w:r>
        <w:t>3.3  Pipeline de données</w:t>
      </w:r>
    </w:p>
    <w:p>
      <w:pPr>
        <w:spacing w:before="0" w:after="120"/>
        <w:jc w:val="both"/>
      </w:pPr>
      <w:r>
        <w:rPr>
          <w:b w:val="0"/>
          <w:i w:val="0"/>
          <w:sz w:val="22"/>
        </w:rPr>
        <w:t>Le pipeline de données est implémenté via la classe CityscapesSequence, qui hérite de keras.utils.Sequence. Cette approche garantit un chargement efficace en mémoire (les images ne sont pas toutes chargées en RAM simultanément) et une compatibilité native avec model.fit(). Le pipeline réalise les opérations suivantes :</w:t>
      </w:r>
    </w:p>
    <w:p>
      <w:pPr>
        <w:pStyle w:val="ListBullet"/>
        <w:spacing w:after="40"/>
      </w:pPr>
      <w:r>
        <w:rPr>
          <w:sz w:val="22"/>
        </w:rPr>
        <w:t>Lecture des images RGB et des masques labelIds depuis le disque.</w:t>
      </w:r>
    </w:p>
    <w:p>
      <w:pPr>
        <w:pStyle w:val="ListBullet"/>
        <w:spacing w:after="40"/>
      </w:pPr>
      <w:r>
        <w:rPr>
          <w:sz w:val="22"/>
        </w:rPr>
        <w:t>Conversion des 32 labelIds en 8 catégories selon le mapping défini.</w:t>
      </w:r>
    </w:p>
    <w:p>
      <w:pPr>
        <w:pStyle w:val="ListBullet"/>
        <w:spacing w:after="40"/>
      </w:pPr>
      <w:r>
        <w:rPr>
          <w:sz w:val="22"/>
        </w:rPr>
        <w:t>Redimensionnement à 128×256 pixels (contrainte de débit CPU/embarqué).</w:t>
      </w:r>
    </w:p>
    <w:p>
      <w:pPr>
        <w:pStyle w:val="ListBullet"/>
        <w:spacing w:after="40"/>
      </w:pPr>
      <w:r>
        <w:rPr>
          <w:sz w:val="22"/>
        </w:rPr>
        <w:t>Normalisation des images dans [0, 1].</w:t>
      </w:r>
    </w:p>
    <w:p>
      <w:pPr>
        <w:pStyle w:val="ListBullet"/>
        <w:spacing w:after="40"/>
      </w:pPr>
      <w:r>
        <w:rPr>
          <w:sz w:val="22"/>
        </w:rPr>
        <w:t>Encodage one-hot des masques (shape : H×W×8).</w:t>
      </w:r>
    </w:p>
    <w:p>
      <w:pPr>
        <w:pStyle w:val="ListBullet"/>
        <w:spacing w:after="40"/>
      </w:pPr>
      <w:r>
        <w:rPr>
          <w:sz w:val="22"/>
        </w:rPr>
        <w:t>Application optionnelle des augmentations (voir section 5).</w:t>
      </w:r>
    </w:p>
    <w:p>
      <w:r>
        <w:br w:type="page"/>
      </w:r>
    </w:p>
    <w:p>
      <w:pPr>
        <w:pStyle w:val="Heading1"/>
        <w:jc w:val="left"/>
      </w:pPr>
      <w:r>
        <w:t>4. Architecture du modèle retenu</w:t>
      </w:r>
    </w:p>
    <w:p>
      <w:pPr>
        <w:pStyle w:val="Heading2"/>
        <w:jc w:val="left"/>
      </w:pPr>
      <w:r>
        <w:t>4.1  Deux variantes testées</w:t>
      </w:r>
    </w:p>
    <w:p>
      <w:pPr>
        <w:spacing w:before="0" w:after="120"/>
        <w:jc w:val="both"/>
      </w:pPr>
      <w:r>
        <w:rPr>
          <w:b w:val="0"/>
          <w:i w:val="0"/>
          <w:sz w:val="22"/>
        </w:rPr>
        <w:t>Deux variantes d'architecture U-Net ont été comparées. U-Net Mini est un encoder custom à 4 niveaux (7,86 M de paramètres, sans pré-entraînement) qui sert de baseline. U-Net + MobileNetV2 remplace l'encoder par MobileNetV2 pré-entraîné sur ImageNet : ce backbone léger (~3,4 M de paramètres) apporte des représentations visuelles riches dès le départ grâce au transfer learning. Les skip connections sont extraites à 5 niveaux de résolution du backbone et connectées au decoder.</w:t>
      </w:r>
    </w:p>
    <w:p>
      <w:pPr>
        <w:pStyle w:val="Heading2"/>
        <w:jc w:val="left"/>
      </w:pPr>
      <w:r>
        <w:t>4.2  Architecture U-Net + MobileNetV2</w:t>
      </w:r>
    </w:p>
    <w:tbl>
      <w:tblPr>
        <w:tblStyle w:val="TableGrid"/>
        <w:tblW w:type="auto" w:w="0"/>
        <w:jc w:val="center"/>
        <w:tblLook w:firstColumn="1" w:firstRow="1" w:lastColumn="0" w:lastRow="0" w:noHBand="0" w:noVBand="1" w:val="04A0"/>
      </w:tblPr>
      <w:tblGrid>
        <w:gridCol w:w="3022"/>
        <w:gridCol w:w="3022"/>
        <w:gridCol w:w="3022"/>
      </w:tblGrid>
      <w:tr>
        <w:tc>
          <w:tcPr>
            <w:tcW w:type="dxa" w:w="1701"/>
            <w:shd w:val="clear" w:color="auto" w:fill="1F497D"/>
          </w:tcPr>
          <w:p>
            <w:pPr>
              <w:jc w:val="center"/>
            </w:pPr>
            <w:r>
              <w:rPr>
                <w:b/>
                <w:color w:val="FFFFFF"/>
                <w:sz w:val="20"/>
              </w:rPr>
              <w:t>Étape</w:t>
            </w:r>
          </w:p>
        </w:tc>
        <w:tc>
          <w:tcPr>
            <w:tcW w:type="dxa" w:w="4535"/>
            <w:shd w:val="clear" w:color="auto" w:fill="1F497D"/>
          </w:tcPr>
          <w:p>
            <w:pPr>
              <w:jc w:val="center"/>
            </w:pPr>
            <w:r>
              <w:rPr>
                <w:b/>
                <w:color w:val="FFFFFF"/>
                <w:sz w:val="20"/>
              </w:rPr>
              <w:t>Description</w:t>
            </w:r>
          </w:p>
        </w:tc>
        <w:tc>
          <w:tcPr>
            <w:tcW w:type="dxa" w:w="2551"/>
            <w:shd w:val="clear" w:color="auto" w:fill="1F497D"/>
          </w:tcPr>
          <w:p>
            <w:pPr>
              <w:jc w:val="center"/>
            </w:pPr>
            <w:r>
              <w:rPr>
                <w:b/>
                <w:color w:val="FFFFFF"/>
                <w:sz w:val="20"/>
              </w:rPr>
              <w:t>Résolution</w:t>
            </w:r>
          </w:p>
        </w:tc>
      </w:tr>
      <w:tr>
        <w:tc>
          <w:tcPr>
            <w:tcW w:type="dxa" w:w="1701"/>
          </w:tcPr>
          <w:p>
            <w:pPr>
              <w:jc w:val="center"/>
            </w:pPr>
            <w:r>
              <w:rPr>
                <w:sz w:val="20"/>
              </w:rPr>
              <w:t>Entrée</w:t>
            </w:r>
          </w:p>
        </w:tc>
        <w:tc>
          <w:tcPr>
            <w:tcW w:type="dxa" w:w="4535"/>
          </w:tcPr>
          <w:p>
            <w:pPr>
              <w:jc w:val="center"/>
            </w:pPr>
            <w:r>
              <w:rPr>
                <w:sz w:val="20"/>
              </w:rPr>
              <w:t>Image RGB normalisée [0, 1]</w:t>
            </w:r>
          </w:p>
        </w:tc>
        <w:tc>
          <w:tcPr>
            <w:tcW w:type="dxa" w:w="2551"/>
          </w:tcPr>
          <w:p>
            <w:pPr>
              <w:jc w:val="center"/>
            </w:pPr>
            <w:r>
              <w:rPr>
                <w:sz w:val="20"/>
              </w:rPr>
              <w:t>128 × 256 × 3</w:t>
            </w:r>
          </w:p>
        </w:tc>
      </w:tr>
      <w:tr>
        <w:tc>
          <w:tcPr>
            <w:tcW w:type="dxa" w:w="1701"/>
            <w:shd w:val="clear" w:color="auto" w:fill="DCE6F1"/>
          </w:tcPr>
          <w:p>
            <w:pPr>
              <w:jc w:val="center"/>
            </w:pPr>
            <w:r>
              <w:rPr>
                <w:sz w:val="20"/>
              </w:rPr>
              <w:t>Encoder</w:t>
            </w:r>
          </w:p>
        </w:tc>
        <w:tc>
          <w:tcPr>
            <w:tcW w:type="dxa" w:w="4535"/>
            <w:shd w:val="clear" w:color="auto" w:fill="DCE6F1"/>
          </w:tcPr>
          <w:p>
            <w:pPr>
              <w:jc w:val="center"/>
            </w:pPr>
            <w:r>
              <w:rPr>
                <w:sz w:val="20"/>
              </w:rPr>
              <w:t>MobileNetV2 — 5 niveaux, skip connections extraites</w:t>
            </w:r>
          </w:p>
        </w:tc>
        <w:tc>
          <w:tcPr>
            <w:tcW w:type="dxa" w:w="2551"/>
            <w:shd w:val="clear" w:color="auto" w:fill="DCE6F1"/>
          </w:tcPr>
          <w:p>
            <w:pPr>
              <w:jc w:val="center"/>
            </w:pPr>
            <w:r>
              <w:rPr>
                <w:sz w:val="20"/>
              </w:rPr>
              <w:t>4 × 8 × 320 (bottleneck)</w:t>
            </w:r>
          </w:p>
        </w:tc>
      </w:tr>
      <w:tr>
        <w:tc>
          <w:tcPr>
            <w:tcW w:type="dxa" w:w="1701"/>
          </w:tcPr>
          <w:p>
            <w:pPr>
              <w:jc w:val="center"/>
            </w:pPr>
            <w:r>
              <w:rPr>
                <w:sz w:val="20"/>
              </w:rPr>
              <w:t>Decoder</w:t>
            </w:r>
          </w:p>
        </w:tc>
        <w:tc>
          <w:tcPr>
            <w:tcW w:type="dxa" w:w="4535"/>
          </w:tcPr>
          <w:p>
            <w:pPr>
              <w:jc w:val="center"/>
            </w:pPr>
            <w:r>
              <w:rPr>
                <w:sz w:val="20"/>
              </w:rPr>
              <w:t>4 blocs : Upsample ×2 + concat skip + Conv×2</w:t>
            </w:r>
          </w:p>
        </w:tc>
        <w:tc>
          <w:tcPr>
            <w:tcW w:type="dxa" w:w="2551"/>
          </w:tcPr>
          <w:p>
            <w:pPr>
              <w:jc w:val="center"/>
            </w:pPr>
            <w:r>
              <w:rPr>
                <w:sz w:val="20"/>
              </w:rPr>
              <w:t>128 × 256 × 32</w:t>
            </w:r>
          </w:p>
        </w:tc>
      </w:tr>
      <w:tr>
        <w:tc>
          <w:tcPr>
            <w:tcW w:type="dxa" w:w="1701"/>
            <w:shd w:val="clear" w:color="auto" w:fill="DCE6F1"/>
          </w:tcPr>
          <w:p>
            <w:pPr>
              <w:jc w:val="center"/>
            </w:pPr>
            <w:r>
              <w:rPr>
                <w:sz w:val="20"/>
              </w:rPr>
              <w:t>Sortie</w:t>
            </w:r>
          </w:p>
        </w:tc>
        <w:tc>
          <w:tcPr>
            <w:tcW w:type="dxa" w:w="4535"/>
            <w:shd w:val="clear" w:color="auto" w:fill="DCE6F1"/>
          </w:tcPr>
          <w:p>
            <w:pPr>
              <w:jc w:val="center"/>
            </w:pPr>
            <w:r>
              <w:rPr>
                <w:sz w:val="20"/>
              </w:rPr>
              <w:t>Conv 1×1 + Softmax → 8 classes</w:t>
            </w:r>
          </w:p>
        </w:tc>
        <w:tc>
          <w:tcPr>
            <w:tcW w:type="dxa" w:w="2551"/>
            <w:shd w:val="clear" w:color="auto" w:fill="DCE6F1"/>
          </w:tcPr>
          <w:p>
            <w:pPr>
              <w:jc w:val="center"/>
            </w:pPr>
            <w:r>
              <w:rPr>
                <w:sz w:val="20"/>
              </w:rPr>
              <w:t>128 × 256 × 8</w:t>
            </w:r>
          </w:p>
        </w:tc>
      </w:tr>
    </w:tbl>
    <w:p/>
    <w:p>
      <w:pPr>
        <w:pStyle w:val="Heading2"/>
        <w:jc w:val="left"/>
      </w:pPr>
      <w:r>
        <w:t>4.4  Fonction de perte</w:t>
      </w:r>
    </w:p>
    <w:p>
      <w:pPr>
        <w:spacing w:before="0" w:after="120"/>
        <w:jc w:val="both"/>
      </w:pPr>
      <w:r>
        <w:rPr>
          <w:b w:val="0"/>
          <w:i w:val="0"/>
          <w:sz w:val="22"/>
        </w:rPr>
        <w:t>La fonction de perte est ce que le modèle cherche à minimiser pendant l'entraînement — c'est son "score d'erreur". Plus la perte est faible, mieux le modèle prédit. Deux composantes complémentaires sont combinées à parts égales :</w:t>
      </w:r>
    </w:p>
    <w:p>
      <w:pPr>
        <w:spacing w:before="0" w:after="40"/>
        <w:jc w:val="both"/>
      </w:pPr>
      <w:r>
        <w:rPr>
          <w:b/>
          <w:i w:val="0"/>
          <w:sz w:val="22"/>
        </w:rPr>
        <w:t>Cross-Entropy pondérée — la pénalisation pixel par pixel</w:t>
      </w:r>
    </w:p>
    <w:p>
      <w:pPr>
        <w:spacing w:before="0" w:after="120"/>
        <w:jc w:val="both"/>
      </w:pPr>
      <w:r>
        <w:rPr>
          <w:b w:val="0"/>
          <w:i w:val="0"/>
          <w:sz w:val="22"/>
        </w:rPr>
        <w:t>Pour chaque pixel, on regarde la probabilité que le modèle a attribuée à la bonne classe. Si le pixel est un piéton et que le modèle est sûr à 90 % que c'est un piéton, l'erreur est faible. S'il est sûr à 5 %, l'erreur est grande. La pondération par classe vient corriger le déséquilibre du dataset : une erreur sur un piéton (classe rare et critique) est pénalisée beaucoup plus fort qu'une erreur sur la route (classe très fréquente).</w:t>
      </w:r>
    </w:p>
    <w:p>
      <w:pPr>
        <w:spacing w:before="0" w:after="40"/>
        <w:jc w:val="both"/>
      </w:pPr>
      <w:r>
        <w:rPr>
          <w:b/>
          <w:i w:val="0"/>
          <w:sz w:val="22"/>
        </w:rPr>
        <w:t>Dice Loss — l'optimisation du chevauchement global</w:t>
      </w:r>
    </w:p>
    <w:p>
      <w:pPr>
        <w:spacing w:before="0" w:after="120"/>
        <w:jc w:val="both"/>
      </w:pPr>
      <w:r>
        <w:rPr>
          <w:b w:val="0"/>
          <w:i w:val="0"/>
          <w:sz w:val="22"/>
        </w:rPr>
        <w:t>Là où la Cross-Entropy regarde les pixels un par un, la Dice Loss regarde la segmentation dans son ensemble : est-ce que la zone prédite comme "piéton" se superpose bien à la vraie zone piéton ? Cette approche est particulièrement efficace pour les petits objets et les contours fins, car elle optimise directement le score IoU que l'on cherche à maximiser.</w:t>
      </w:r>
    </w:p>
    <w:p>
      <w:pPr>
        <w:spacing w:before="0" w:after="120"/>
        <w:jc w:val="both"/>
      </w:pPr>
      <w:r>
        <w:rPr>
          <w:b w:val="0"/>
          <w:i w:val="0"/>
          <w:sz w:val="22"/>
        </w:rPr>
        <w:t>Combiner les deux permet de bénéficier des avantages de chacune : la Cross-Entropy guide l'apprentissage général pixel par pixel, tandis que la Dice Loss affine la qualité de segmentation sur les classes rares et les détails fins.</w:t>
      </w:r>
    </w:p>
    <w:p>
      <w:pPr>
        <w:pStyle w:val="Heading2"/>
        <w:jc w:val="left"/>
      </w:pPr>
      <w:r>
        <w:t>4.5  Stratégie d'entraînement</w:t>
      </w:r>
    </w:p>
    <w:tbl>
      <w:tblPr>
        <w:tblStyle w:val="TableGrid"/>
        <w:tblW w:type="auto" w:w="0"/>
        <w:jc w:val="center"/>
        <w:tblLook w:firstColumn="1" w:firstRow="1" w:lastColumn="0" w:lastRow="0" w:noHBand="0" w:noVBand="1" w:val="04A0"/>
      </w:tblPr>
      <w:tblGrid>
        <w:gridCol w:w="3022"/>
        <w:gridCol w:w="3022"/>
        <w:gridCol w:w="3022"/>
      </w:tblGrid>
      <w:tr>
        <w:tc>
          <w:tcPr>
            <w:tcW w:type="dxa" w:w="2268"/>
            <w:shd w:val="clear" w:color="auto" w:fill="1F497D"/>
          </w:tcPr>
          <w:p>
            <w:pPr>
              <w:jc w:val="center"/>
            </w:pPr>
            <w:r>
              <w:rPr>
                <w:b/>
                <w:color w:val="FFFFFF"/>
                <w:sz w:val="20"/>
              </w:rPr>
              <w:t>Hyperparamètre</w:t>
            </w:r>
          </w:p>
        </w:tc>
        <w:tc>
          <w:tcPr>
            <w:tcW w:type="dxa" w:w="1984"/>
            <w:shd w:val="clear" w:color="auto" w:fill="1F497D"/>
          </w:tcPr>
          <w:p>
            <w:pPr>
              <w:jc w:val="center"/>
            </w:pPr>
            <w:r>
              <w:rPr>
                <w:b/>
                <w:color w:val="FFFFFF"/>
                <w:sz w:val="20"/>
              </w:rPr>
              <w:t>Valeur</w:t>
            </w:r>
          </w:p>
        </w:tc>
        <w:tc>
          <w:tcPr>
            <w:tcW w:type="dxa" w:w="3969"/>
            <w:shd w:val="clear" w:color="auto" w:fill="1F497D"/>
          </w:tcPr>
          <w:p>
            <w:pPr>
              <w:jc w:val="center"/>
            </w:pPr>
            <w:r>
              <w:rPr>
                <w:b/>
                <w:color w:val="FFFFFF"/>
                <w:sz w:val="20"/>
              </w:rPr>
              <w:t>Rôle</w:t>
            </w:r>
          </w:p>
        </w:tc>
      </w:tr>
      <w:tr>
        <w:tc>
          <w:tcPr>
            <w:tcW w:type="dxa" w:w="2268"/>
          </w:tcPr>
          <w:p>
            <w:pPr>
              <w:jc w:val="center"/>
            </w:pPr>
            <w:r>
              <w:rPr>
                <w:sz w:val="20"/>
              </w:rPr>
              <w:t>Optimiseur / Learning rate</w:t>
            </w:r>
          </w:p>
        </w:tc>
        <w:tc>
          <w:tcPr>
            <w:tcW w:type="dxa" w:w="1984"/>
          </w:tcPr>
          <w:p>
            <w:pPr>
              <w:jc w:val="center"/>
            </w:pPr>
            <w:r>
              <w:rPr>
                <w:sz w:val="20"/>
              </w:rPr>
              <w:t>Adam — 1×10⁻⁴</w:t>
            </w:r>
          </w:p>
        </w:tc>
        <w:tc>
          <w:tcPr>
            <w:tcW w:type="dxa" w:w="3969"/>
          </w:tcPr>
          <w:p>
            <w:pPr>
              <w:jc w:val="center"/>
            </w:pPr>
            <w:r>
              <w:rPr>
                <w:sz w:val="20"/>
              </w:rPr>
              <w:t>Adam ajuste automatiquement la vitesse d'apprentissage par paramètre. Le lr de 0,0001 est volontairement conservatif pour éviter les divergences.</w:t>
            </w:r>
          </w:p>
        </w:tc>
      </w:tr>
      <w:tr>
        <w:tc>
          <w:tcPr>
            <w:tcW w:type="dxa" w:w="2268"/>
            <w:shd w:val="clear" w:color="auto" w:fill="DCE6F1"/>
          </w:tcPr>
          <w:p>
            <w:pPr>
              <w:jc w:val="center"/>
            </w:pPr>
            <w:r>
              <w:rPr>
                <w:sz w:val="20"/>
              </w:rPr>
              <w:t>Batch size / Résolution</w:t>
            </w:r>
          </w:p>
        </w:tc>
        <w:tc>
          <w:tcPr>
            <w:tcW w:type="dxa" w:w="1984"/>
            <w:shd w:val="clear" w:color="auto" w:fill="DCE6F1"/>
          </w:tcPr>
          <w:p>
            <w:pPr>
              <w:jc w:val="center"/>
            </w:pPr>
            <w:r>
              <w:rPr>
                <w:sz w:val="20"/>
              </w:rPr>
              <w:t>4 images — 128×256 px</w:t>
            </w:r>
          </w:p>
        </w:tc>
        <w:tc>
          <w:tcPr>
            <w:tcW w:type="dxa" w:w="3969"/>
            <w:shd w:val="clear" w:color="auto" w:fill="DCE6F1"/>
          </w:tcPr>
          <w:p>
            <w:pPr>
              <w:jc w:val="center"/>
            </w:pPr>
            <w:r>
              <w:rPr>
                <w:sz w:val="20"/>
              </w:rPr>
              <w:t>Limités par la RAM CPU. La résolution native (2048×1024) est réduite 8× pour rendre l'entraînement praticable sur CPU.</w:t>
            </w:r>
          </w:p>
        </w:tc>
      </w:tr>
      <w:tr>
        <w:tc>
          <w:tcPr>
            <w:tcW w:type="dxa" w:w="2268"/>
          </w:tcPr>
          <w:p>
            <w:pPr>
              <w:jc w:val="center"/>
            </w:pPr>
            <w:r>
              <w:rPr>
                <w:sz w:val="20"/>
              </w:rPr>
              <w:t>Early stopping</w:t>
            </w:r>
          </w:p>
        </w:tc>
        <w:tc>
          <w:tcPr>
            <w:tcW w:type="dxa" w:w="1984"/>
          </w:tcPr>
          <w:p>
            <w:pPr>
              <w:jc w:val="center"/>
            </w:pPr>
            <w:r>
              <w:rPr>
                <w:sz w:val="20"/>
              </w:rPr>
              <w:t>patience = 10 epochs</w:t>
            </w:r>
          </w:p>
        </w:tc>
        <w:tc>
          <w:tcPr>
            <w:tcW w:type="dxa" w:w="3969"/>
          </w:tcPr>
          <w:p>
            <w:pPr>
              <w:jc w:val="center"/>
            </w:pPr>
            <w:r>
              <w:rPr>
                <w:sz w:val="20"/>
              </w:rPr>
              <w:t>Arrêt automatique si le mIoU de validation ne progresse plus. Évite le surapprentissage et économise du temps de calcul.</w:t>
            </w:r>
          </w:p>
        </w:tc>
      </w:tr>
      <w:tr>
        <w:tc>
          <w:tcPr>
            <w:tcW w:type="dxa" w:w="2268"/>
            <w:shd w:val="clear" w:color="auto" w:fill="DCE6F1"/>
          </w:tcPr>
          <w:p>
            <w:pPr>
              <w:jc w:val="center"/>
            </w:pPr>
            <w:r>
              <w:rPr>
                <w:sz w:val="20"/>
              </w:rPr>
              <w:t>ReduceLROnPlateau</w:t>
            </w:r>
          </w:p>
        </w:tc>
        <w:tc>
          <w:tcPr>
            <w:tcW w:type="dxa" w:w="1984"/>
            <w:shd w:val="clear" w:color="auto" w:fill="DCE6F1"/>
          </w:tcPr>
          <w:p>
            <w:pPr>
              <w:jc w:val="center"/>
            </w:pPr>
            <w:r>
              <w:rPr>
                <w:sz w:val="20"/>
              </w:rPr>
              <w:t>÷2 après 5 epochs stables</w:t>
            </w:r>
          </w:p>
        </w:tc>
        <w:tc>
          <w:tcPr>
            <w:tcW w:type="dxa" w:w="3969"/>
            <w:shd w:val="clear" w:color="auto" w:fill="DCE6F1"/>
          </w:tcPr>
          <w:p>
            <w:pPr>
              <w:jc w:val="center"/>
            </w:pPr>
            <w:r>
              <w:rPr>
                <w:sz w:val="20"/>
              </w:rPr>
              <w:t>Divise le learning rate par 2 quand la validation stagne, pour affiner la convergence en fin d'entraînement.</w:t>
            </w:r>
          </w:p>
        </w:tc>
      </w:tr>
      <w:tr>
        <w:tc>
          <w:tcPr>
            <w:tcW w:type="dxa" w:w="2268"/>
          </w:tcPr>
          <w:p>
            <w:pPr>
              <w:jc w:val="center"/>
            </w:pPr>
            <w:r>
              <w:rPr>
                <w:sz w:val="20"/>
              </w:rPr>
              <w:t>Fine-tuning encoder</w:t>
            </w:r>
          </w:p>
        </w:tc>
        <w:tc>
          <w:tcPr>
            <w:tcW w:type="dxa" w:w="1984"/>
          </w:tcPr>
          <w:p>
            <w:pPr>
              <w:jc w:val="center"/>
            </w:pPr>
            <w:r>
              <w:rPr>
                <w:sz w:val="20"/>
              </w:rPr>
              <w:t>Non gelé</w:t>
            </w:r>
          </w:p>
        </w:tc>
        <w:tc>
          <w:tcPr>
            <w:tcW w:type="dxa" w:w="3969"/>
          </w:tcPr>
          <w:p>
            <w:pPr>
              <w:jc w:val="center"/>
            </w:pPr>
            <w:r>
              <w:rPr>
                <w:sz w:val="20"/>
              </w:rPr>
              <w:t>Le backbone MobileNetV2 est entièrement entraînable : ses poids s'adaptent à Cityscapes en plus du decoder. Plus performant qu'un encoder figé.</w:t>
            </w:r>
          </w:p>
        </w:tc>
      </w:tr>
    </w:tbl>
    <w:p/>
    <w:p>
      <w:r>
        <w:br w:type="page"/>
      </w:r>
    </w:p>
    <w:p>
      <w:pPr>
        <w:pStyle w:val="Heading1"/>
        <w:jc w:val="left"/>
      </w:pPr>
      <w:r>
        <w:t>5. Augmentation des données</w:t>
      </w:r>
    </w:p>
    <w:p>
      <w:pPr>
        <w:pStyle w:val="Heading2"/>
        <w:jc w:val="left"/>
      </w:pPr>
      <w:r>
        <w:t>5.1  Motivation</w:t>
      </w:r>
    </w:p>
    <w:p>
      <w:pPr>
        <w:spacing w:before="0" w:after="120"/>
        <w:jc w:val="both"/>
      </w:pPr>
      <w:r>
        <w:rPr>
          <w:b w:val="0"/>
          <w:i w:val="0"/>
          <w:sz w:val="22"/>
        </w:rPr>
        <w:t>L'augmentation des données est une technique d'entraînement qui consiste à appliquer des transformations aléatoires aux images d'entraînement pour augmenter artificiellement la diversité du dataset. Elle permet de réduire le surapprentissage (overfitting) et d'améliorer la robustesse du modèle à des conditions variées (luminosité, angles de vue).</w:t>
      </w:r>
    </w:p>
    <w:p>
      <w:pPr>
        <w:spacing w:before="0" w:after="120"/>
        <w:jc w:val="both"/>
      </w:pPr>
      <w:r>
        <w:rPr>
          <w:b w:val="0"/>
          <w:i w:val="0"/>
          <w:sz w:val="22"/>
        </w:rPr>
        <w:t>Dans le contexte de la conduite autonome, l'augmentation est particulièrement pertinente car le modèle doit fonctionner dans des conditions météorologiques et lumineuses variées (soleil, nuages, pluie, nuit).</w:t>
      </w:r>
    </w:p>
    <w:p>
      <w:pPr>
        <w:pStyle w:val="Heading2"/>
        <w:jc w:val="left"/>
      </w:pPr>
      <w:r>
        <w:t>5.2  Transformations appliquées (Albumentations)</w:t>
      </w:r>
    </w:p>
    <w:p>
      <w:pPr>
        <w:spacing w:before="0" w:after="120"/>
        <w:jc w:val="both"/>
      </w:pPr>
      <w:r>
        <w:rPr>
          <w:b w:val="0"/>
          <w:i w:val="0"/>
          <w:sz w:val="22"/>
        </w:rPr>
        <w:t>La bibliothèque Albumentations est utilisée car elle applique simultanément les transformations à l'image RGB et au masque de segmentation, garantissant la cohérence des annotations. Les transformations retenues sont :</w:t>
      </w:r>
    </w:p>
    <w:tbl>
      <w:tblPr>
        <w:tblStyle w:val="TableGrid"/>
        <w:tblW w:type="auto" w:w="0"/>
        <w:jc w:val="center"/>
        <w:tblLook w:firstColumn="1" w:firstRow="1" w:lastColumn="0" w:lastRow="0" w:noHBand="0" w:noVBand="1" w:val="04A0"/>
      </w:tblPr>
      <w:tblGrid>
        <w:gridCol w:w="3022"/>
        <w:gridCol w:w="3022"/>
        <w:gridCol w:w="3022"/>
      </w:tblGrid>
      <w:tr>
        <w:tc>
          <w:tcPr>
            <w:tcW w:type="dxa" w:w="1984"/>
            <w:shd w:val="clear" w:color="auto" w:fill="1F497D"/>
          </w:tcPr>
          <w:p>
            <w:pPr>
              <w:jc w:val="center"/>
            </w:pPr>
            <w:r>
              <w:rPr>
                <w:b/>
                <w:color w:val="FFFFFF"/>
                <w:sz w:val="20"/>
              </w:rPr>
              <w:t>Transformation</w:t>
            </w:r>
          </w:p>
        </w:tc>
        <w:tc>
          <w:tcPr>
            <w:tcW w:type="dxa" w:w="1984"/>
            <w:shd w:val="clear" w:color="auto" w:fill="1F497D"/>
          </w:tcPr>
          <w:p>
            <w:pPr>
              <w:jc w:val="center"/>
            </w:pPr>
            <w:r>
              <w:rPr>
                <w:b/>
                <w:color w:val="FFFFFF"/>
                <w:sz w:val="20"/>
              </w:rPr>
              <w:t>Paramètres</w:t>
            </w:r>
          </w:p>
        </w:tc>
        <w:tc>
          <w:tcPr>
            <w:tcW w:type="dxa" w:w="4252"/>
            <w:shd w:val="clear" w:color="auto" w:fill="1F497D"/>
          </w:tcPr>
          <w:p>
            <w:pPr>
              <w:jc w:val="center"/>
            </w:pPr>
            <w:r>
              <w:rPr>
                <w:b/>
                <w:color w:val="FFFFFF"/>
                <w:sz w:val="20"/>
              </w:rPr>
              <w:t>Justification</w:t>
            </w:r>
          </w:p>
        </w:tc>
      </w:tr>
      <w:tr>
        <w:tc>
          <w:tcPr>
            <w:tcW w:type="dxa" w:w="1984"/>
          </w:tcPr>
          <w:p>
            <w:pPr>
              <w:jc w:val="center"/>
            </w:pPr>
            <w:r>
              <w:rPr>
                <w:sz w:val="20"/>
              </w:rPr>
              <w:t>Flip horizontal</w:t>
            </w:r>
          </w:p>
        </w:tc>
        <w:tc>
          <w:tcPr>
            <w:tcW w:type="dxa" w:w="1984"/>
          </w:tcPr>
          <w:p>
            <w:pPr>
              <w:jc w:val="center"/>
            </w:pPr>
            <w:r>
              <w:rPr>
                <w:sz w:val="20"/>
              </w:rPr>
              <w:t>p=0.5</w:t>
            </w:r>
          </w:p>
        </w:tc>
        <w:tc>
          <w:tcPr>
            <w:tcW w:type="dxa" w:w="4252"/>
          </w:tcPr>
          <w:p>
            <w:pPr>
              <w:jc w:val="center"/>
            </w:pPr>
            <w:r>
              <w:rPr>
                <w:sz w:val="20"/>
              </w:rPr>
              <w:t>Symétrie gauche/droite de la scène routière</w:t>
            </w:r>
          </w:p>
        </w:tc>
      </w:tr>
      <w:tr>
        <w:tc>
          <w:tcPr>
            <w:tcW w:type="dxa" w:w="1984"/>
            <w:shd w:val="clear" w:color="auto" w:fill="DCE6F1"/>
          </w:tcPr>
          <w:p>
            <w:pPr>
              <w:jc w:val="center"/>
            </w:pPr>
            <w:r>
              <w:rPr>
                <w:sz w:val="20"/>
              </w:rPr>
              <w:t>Rotation légère</w:t>
            </w:r>
          </w:p>
        </w:tc>
        <w:tc>
          <w:tcPr>
            <w:tcW w:type="dxa" w:w="1984"/>
            <w:shd w:val="clear" w:color="auto" w:fill="DCE6F1"/>
          </w:tcPr>
          <w:p>
            <w:pPr>
              <w:jc w:val="center"/>
            </w:pPr>
            <w:r>
              <w:rPr>
                <w:sz w:val="20"/>
              </w:rPr>
              <w:t>±10°, p=0.3</w:t>
            </w:r>
          </w:p>
        </w:tc>
        <w:tc>
          <w:tcPr>
            <w:tcW w:type="dxa" w:w="4252"/>
            <w:shd w:val="clear" w:color="auto" w:fill="DCE6F1"/>
          </w:tcPr>
          <w:p>
            <w:pPr>
              <w:jc w:val="center"/>
            </w:pPr>
            <w:r>
              <w:rPr>
                <w:sz w:val="20"/>
              </w:rPr>
              <w:t>Variation d'inclinaison de la caméra</w:t>
            </w:r>
          </w:p>
        </w:tc>
      </w:tr>
      <w:tr>
        <w:tc>
          <w:tcPr>
            <w:tcW w:type="dxa" w:w="1984"/>
          </w:tcPr>
          <w:p>
            <w:pPr>
              <w:jc w:val="center"/>
            </w:pPr>
            <w:r>
              <w:rPr>
                <w:sz w:val="20"/>
              </w:rPr>
              <w:t>Brightness/Contrast</w:t>
            </w:r>
          </w:p>
        </w:tc>
        <w:tc>
          <w:tcPr>
            <w:tcW w:type="dxa" w:w="1984"/>
          </w:tcPr>
          <w:p>
            <w:pPr>
              <w:jc w:val="center"/>
            </w:pPr>
            <w:r>
              <w:rPr>
                <w:sz w:val="20"/>
              </w:rPr>
              <w:t>±20 %, p=0.4</w:t>
            </w:r>
          </w:p>
        </w:tc>
        <w:tc>
          <w:tcPr>
            <w:tcW w:type="dxa" w:w="4252"/>
          </w:tcPr>
          <w:p>
            <w:pPr>
              <w:jc w:val="center"/>
            </w:pPr>
            <w:r>
              <w:rPr>
                <w:sz w:val="20"/>
              </w:rPr>
              <w:t>Conditions lumineuses variables</w:t>
            </w:r>
          </w:p>
        </w:tc>
      </w:tr>
      <w:tr>
        <w:tc>
          <w:tcPr>
            <w:tcW w:type="dxa" w:w="1984"/>
            <w:shd w:val="clear" w:color="auto" w:fill="DCE6F1"/>
          </w:tcPr>
          <w:p>
            <w:pPr>
              <w:jc w:val="center"/>
            </w:pPr>
            <w:r>
              <w:rPr>
                <w:sz w:val="20"/>
              </w:rPr>
              <w:t>Gaussian Blur</w:t>
            </w:r>
          </w:p>
        </w:tc>
        <w:tc>
          <w:tcPr>
            <w:tcW w:type="dxa" w:w="1984"/>
            <w:shd w:val="clear" w:color="auto" w:fill="DCE6F1"/>
          </w:tcPr>
          <w:p>
            <w:pPr>
              <w:jc w:val="center"/>
            </w:pPr>
            <w:r>
              <w:rPr>
                <w:sz w:val="20"/>
              </w:rPr>
              <w:t>kernel 3–7, p=0.2</w:t>
            </w:r>
          </w:p>
        </w:tc>
        <w:tc>
          <w:tcPr>
            <w:tcW w:type="dxa" w:w="4252"/>
            <w:shd w:val="clear" w:color="auto" w:fill="DCE6F1"/>
          </w:tcPr>
          <w:p>
            <w:pPr>
              <w:jc w:val="center"/>
            </w:pPr>
            <w:r>
              <w:rPr>
                <w:sz w:val="20"/>
              </w:rPr>
              <w:t>Simulation de défocus ou compression vidéo</w:t>
            </w:r>
          </w:p>
        </w:tc>
      </w:tr>
      <w:tr>
        <w:tc>
          <w:tcPr>
            <w:tcW w:type="dxa" w:w="1984"/>
          </w:tcPr>
          <w:p>
            <w:pPr>
              <w:jc w:val="center"/>
            </w:pPr>
            <w:r>
              <w:rPr>
                <w:sz w:val="20"/>
              </w:rPr>
              <w:t>Shift/Scale/Rotate</w:t>
            </w:r>
          </w:p>
        </w:tc>
        <w:tc>
          <w:tcPr>
            <w:tcW w:type="dxa" w:w="1984"/>
          </w:tcPr>
          <w:p>
            <w:pPr>
              <w:jc w:val="center"/>
            </w:pPr>
            <w:r>
              <w:rPr>
                <w:sz w:val="20"/>
              </w:rPr>
              <w:t>shift±0.1, scale±0.1, p=0.3</w:t>
            </w:r>
          </w:p>
        </w:tc>
        <w:tc>
          <w:tcPr>
            <w:tcW w:type="dxa" w:w="4252"/>
          </w:tcPr>
          <w:p>
            <w:pPr>
              <w:jc w:val="center"/>
            </w:pPr>
            <w:r>
              <w:rPr>
                <w:sz w:val="20"/>
              </w:rPr>
              <w:t>Légères variations de cadrage</w:t>
            </w:r>
          </w:p>
        </w:tc>
      </w:tr>
    </w:tbl>
    <w:p/>
    <w:p>
      <w:pPr>
        <w:spacing w:before="80"/>
        <w:jc w:val="center"/>
      </w:pPr>
      <w:r>
        <w:drawing>
          <wp:inline xmlns:a="http://schemas.openxmlformats.org/drawingml/2006/main" xmlns:pic="http://schemas.openxmlformats.org/drawingml/2006/picture">
            <wp:extent cx="4680000" cy="1800536"/>
            <wp:docPr id="2" name="Picture 2"/>
            <wp:cNvGraphicFramePr>
              <a:graphicFrameLocks noChangeAspect="1"/>
            </wp:cNvGraphicFramePr>
            <a:graphic>
              <a:graphicData uri="http://schemas.openxmlformats.org/drawingml/2006/picture">
                <pic:pic>
                  <pic:nvPicPr>
                    <pic:cNvPr id="0" name="augmentation_demo.png"/>
                    <pic:cNvPicPr/>
                  </pic:nvPicPr>
                  <pic:blipFill>
                    <a:blip r:embed="rId10"/>
                    <a:stretch>
                      <a:fillRect/>
                    </a:stretch>
                  </pic:blipFill>
                  <pic:spPr>
                    <a:xfrm>
                      <a:off x="0" y="0"/>
                      <a:ext cx="4680000" cy="1800536"/>
                    </a:xfrm>
                    <a:prstGeom prst="rect"/>
                  </pic:spPr>
                </pic:pic>
              </a:graphicData>
            </a:graphic>
          </wp:inline>
        </w:drawing>
      </w:r>
    </w:p>
    <w:p>
      <w:pPr>
        <w:spacing w:after="160"/>
        <w:jc w:val="center"/>
      </w:pPr>
      <w:r>
        <w:rPr>
          <w:i/>
          <w:color w:val="646464"/>
          <w:sz w:val="18"/>
        </w:rPr>
        <w:t>Figure 2 — Exemples de transformations d'augmentation sur image et masque</w:t>
      </w:r>
    </w:p>
    <w:p>
      <w:pPr>
        <w:pStyle w:val="Heading2"/>
        <w:jc w:val="left"/>
      </w:pPr>
      <w:r>
        <w:t>5.3  Oversampling des classes rares</w:t>
      </w:r>
    </w:p>
    <w:p>
      <w:pPr>
        <w:spacing w:before="0" w:after="120"/>
        <w:jc w:val="both"/>
      </w:pPr>
      <w:r>
        <w:rPr>
          <w:b w:val="0"/>
          <w:i w:val="0"/>
          <w:sz w:val="22"/>
        </w:rPr>
        <w:t>En complément de l'augmentation, les images contenant des piétons (classe human) ou des véhicules (classe vehicle) sont sur-représentées dans les batches d'entraînement avec un facteur multiplicatif de 3. Cette stratégie permet au modèle de voir proportionnellement plus d'exemples des classes critiques pour la sécurité, sans modifier les images elles-mêmes.</w:t>
      </w:r>
    </w:p>
    <w:p>
      <w:pPr>
        <w:spacing w:before="0" w:after="120"/>
        <w:jc w:val="both"/>
      </w:pPr>
      <w:r>
        <w:rPr>
          <w:b w:val="0"/>
          <w:i w:val="0"/>
          <w:sz w:val="22"/>
        </w:rPr>
        <w:t>Concrètement, le dataset effectif passe de 2 975 images à environ 8 900 exemples par epoch (les images avec classes rares apparaissent 3 fois, les autres 1 fois).</w:t>
      </w:r>
    </w:p>
    <w:p>
      <w:r>
        <w:br w:type="page"/>
      </w:r>
    </w:p>
    <w:p>
      <w:pPr>
        <w:pStyle w:val="Heading1"/>
        <w:jc w:val="left"/>
      </w:pPr>
      <w:r>
        <w:t>6. Résultats et comparaison des expériences</w:t>
      </w:r>
    </w:p>
    <w:p>
      <w:pPr>
        <w:pStyle w:val="Heading2"/>
        <w:jc w:val="left"/>
      </w:pPr>
      <w:r>
        <w:t>6.1  Protocole expérimental</w:t>
      </w:r>
    </w:p>
    <w:p>
      <w:pPr>
        <w:spacing w:before="0" w:after="120"/>
        <w:jc w:val="both"/>
      </w:pPr>
      <w:r>
        <w:rPr>
          <w:b w:val="0"/>
          <w:i w:val="0"/>
          <w:sz w:val="22"/>
        </w:rPr>
        <w:t>Trois expériences ont été menées pour évaluer l'impact de l'architecture et de l'augmentation des données. Toutes les expériences partagent les mêmes conditions de base : résolution 128×256, Adam lr=1×10⁻⁴, loss combinée CCE+Dice, 500 images de validation issues du split officiel Cityscapes.</w:t>
      </w:r>
    </w:p>
    <w:p>
      <w:pPr>
        <w:pStyle w:val="Heading2"/>
        <w:jc w:val="left"/>
      </w:pPr>
      <w:r>
        <w:t>6.2  Tableau de synthèse des expériences</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tblGrid>
      <w:tr>
        <w:tc>
          <w:tcPr>
            <w:tcW w:type="dxa" w:w="1984"/>
            <w:shd w:val="clear" w:color="auto" w:fill="1F497D"/>
          </w:tcPr>
          <w:p>
            <w:pPr>
              <w:jc w:val="center"/>
            </w:pPr>
            <w:r>
              <w:rPr>
                <w:b/>
                <w:color w:val="FFFFFF"/>
                <w:sz w:val="20"/>
              </w:rPr>
              <w:t>Expérience</w:t>
            </w:r>
          </w:p>
        </w:tc>
        <w:tc>
          <w:tcPr>
            <w:tcW w:type="dxa" w:w="1814"/>
            <w:shd w:val="clear" w:color="auto" w:fill="1F497D"/>
          </w:tcPr>
          <w:p>
            <w:pPr>
              <w:jc w:val="center"/>
            </w:pPr>
            <w:r>
              <w:rPr>
                <w:b/>
                <w:color w:val="FFFFFF"/>
                <w:sz w:val="20"/>
              </w:rPr>
              <w:t>Modèle</w:t>
            </w:r>
          </w:p>
        </w:tc>
        <w:tc>
          <w:tcPr>
            <w:tcW w:type="dxa" w:w="1417"/>
            <w:shd w:val="clear" w:color="auto" w:fill="1F497D"/>
          </w:tcPr>
          <w:p>
            <w:pPr>
              <w:jc w:val="center"/>
            </w:pPr>
            <w:r>
              <w:rPr>
                <w:b/>
                <w:color w:val="FFFFFF"/>
                <w:sz w:val="20"/>
              </w:rPr>
              <w:t>Augmentation</w:t>
            </w:r>
          </w:p>
        </w:tc>
        <w:tc>
          <w:tcPr>
            <w:tcW w:type="dxa" w:w="1247"/>
            <w:shd w:val="clear" w:color="auto" w:fill="1F497D"/>
          </w:tcPr>
          <w:p>
            <w:pPr>
              <w:jc w:val="center"/>
            </w:pPr>
            <w:r>
              <w:rPr>
                <w:b/>
                <w:color w:val="FFFFFF"/>
                <w:sz w:val="20"/>
              </w:rPr>
              <w:t>Oversample</w:t>
            </w:r>
          </w:p>
        </w:tc>
        <w:tc>
          <w:tcPr>
            <w:tcW w:type="dxa" w:w="1134"/>
            <w:shd w:val="clear" w:color="auto" w:fill="1F497D"/>
          </w:tcPr>
          <w:p>
            <w:pPr>
              <w:jc w:val="center"/>
            </w:pPr>
            <w:r>
              <w:rPr>
                <w:b/>
                <w:color w:val="FFFFFF"/>
                <w:sz w:val="20"/>
              </w:rPr>
              <w:t>val mIoU</w:t>
            </w:r>
          </w:p>
        </w:tc>
        <w:tc>
          <w:tcPr>
            <w:tcW w:type="dxa" w:w="1134"/>
            <w:shd w:val="clear" w:color="auto" w:fill="1F497D"/>
          </w:tcPr>
          <w:p>
            <w:pPr>
              <w:jc w:val="center"/>
            </w:pPr>
            <w:r>
              <w:rPr>
                <w:b/>
                <w:color w:val="FFFFFF"/>
                <w:sz w:val="20"/>
              </w:rPr>
              <w:t>val Dice</w:t>
            </w:r>
          </w:p>
        </w:tc>
        <w:tc>
          <w:tcPr>
            <w:tcW w:type="dxa" w:w="1247"/>
            <w:shd w:val="clear" w:color="auto" w:fill="1F497D"/>
          </w:tcPr>
          <w:p>
            <w:pPr>
              <w:jc w:val="center"/>
            </w:pPr>
            <w:r>
              <w:rPr>
                <w:b/>
                <w:color w:val="FFFFFF"/>
                <w:sz w:val="20"/>
              </w:rPr>
              <w:t>val Px Acc</w:t>
            </w:r>
          </w:p>
        </w:tc>
        <w:tc>
          <w:tcPr>
            <w:tcW w:type="dxa" w:w="1020"/>
            <w:shd w:val="clear" w:color="auto" w:fill="1F497D"/>
          </w:tcPr>
          <w:p>
            <w:pPr>
              <w:jc w:val="center"/>
            </w:pPr>
            <w:r>
              <w:rPr>
                <w:b/>
                <w:color w:val="FFFFFF"/>
                <w:sz w:val="20"/>
              </w:rPr>
              <w:t>Epochs</w:t>
            </w:r>
          </w:p>
        </w:tc>
      </w:tr>
      <w:tr>
        <w:tc>
          <w:tcPr>
            <w:tcW w:type="dxa" w:w="1984"/>
          </w:tcPr>
          <w:p>
            <w:pPr>
              <w:jc w:val="center"/>
            </w:pPr>
            <w:r>
              <w:rPr>
                <w:sz w:val="20"/>
              </w:rPr>
              <w:t>Exp. 1 — Baseline</w:t>
            </w:r>
          </w:p>
        </w:tc>
        <w:tc>
          <w:tcPr>
            <w:tcW w:type="dxa" w:w="1814"/>
          </w:tcPr>
          <w:p>
            <w:pPr>
              <w:jc w:val="center"/>
            </w:pPr>
            <w:r>
              <w:rPr>
                <w:sz w:val="20"/>
              </w:rPr>
              <w:t>U-Net Mini</w:t>
            </w:r>
          </w:p>
        </w:tc>
        <w:tc>
          <w:tcPr>
            <w:tcW w:type="dxa" w:w="1417"/>
          </w:tcPr>
          <w:p>
            <w:pPr>
              <w:jc w:val="center"/>
            </w:pPr>
            <w:r>
              <w:rPr>
                <w:sz w:val="20"/>
              </w:rPr>
              <w:t>Non</w:t>
            </w:r>
          </w:p>
        </w:tc>
        <w:tc>
          <w:tcPr>
            <w:tcW w:type="dxa" w:w="1247"/>
          </w:tcPr>
          <w:p>
            <w:pPr>
              <w:jc w:val="center"/>
            </w:pPr>
            <w:r>
              <w:rPr>
                <w:sz w:val="20"/>
              </w:rPr>
              <w:t>Non</w:t>
            </w:r>
          </w:p>
        </w:tc>
        <w:tc>
          <w:tcPr>
            <w:tcW w:type="dxa" w:w="1134"/>
          </w:tcPr>
          <w:p>
            <w:pPr>
              <w:jc w:val="center"/>
            </w:pPr>
            <w:r>
              <w:rPr>
                <w:sz w:val="20"/>
              </w:rPr>
              <w:t>70.1%</w:t>
            </w:r>
          </w:p>
        </w:tc>
        <w:tc>
          <w:tcPr>
            <w:tcW w:type="dxa" w:w="1134"/>
          </w:tcPr>
          <w:p>
            <w:pPr>
              <w:jc w:val="center"/>
            </w:pPr>
            <w:r>
              <w:rPr>
                <w:sz w:val="20"/>
              </w:rPr>
              <w:t>75.3%</w:t>
            </w:r>
          </w:p>
        </w:tc>
        <w:tc>
          <w:tcPr>
            <w:tcW w:type="dxa" w:w="1247"/>
          </w:tcPr>
          <w:p>
            <w:pPr>
              <w:jc w:val="center"/>
            </w:pPr>
            <w:r>
              <w:rPr>
                <w:sz w:val="20"/>
              </w:rPr>
              <w:t>88.9%</w:t>
            </w:r>
          </w:p>
        </w:tc>
        <w:tc>
          <w:tcPr>
            <w:tcW w:type="dxa" w:w="1020"/>
          </w:tcPr>
          <w:p>
            <w:pPr>
              <w:jc w:val="center"/>
            </w:pPr>
            <w:r>
              <w:rPr>
                <w:sz w:val="20"/>
              </w:rPr>
              <w:t>20</w:t>
            </w:r>
          </w:p>
        </w:tc>
      </w:tr>
      <w:tr>
        <w:tc>
          <w:tcPr>
            <w:tcW w:type="dxa" w:w="1984"/>
            <w:shd w:val="clear" w:color="auto" w:fill="DCE6F1"/>
          </w:tcPr>
          <w:p>
            <w:pPr>
              <w:jc w:val="center"/>
            </w:pPr>
            <w:r>
              <w:rPr>
                <w:sz w:val="20"/>
              </w:rPr>
              <w:t>Exp. 2 — Backbone</w:t>
            </w:r>
          </w:p>
        </w:tc>
        <w:tc>
          <w:tcPr>
            <w:tcW w:type="dxa" w:w="1814"/>
            <w:shd w:val="clear" w:color="auto" w:fill="DCE6F1"/>
          </w:tcPr>
          <w:p>
            <w:pPr>
              <w:jc w:val="center"/>
            </w:pPr>
            <w:r>
              <w:rPr>
                <w:sz w:val="20"/>
              </w:rPr>
              <w:t>U-Net + MobileNetV2</w:t>
            </w:r>
          </w:p>
        </w:tc>
        <w:tc>
          <w:tcPr>
            <w:tcW w:type="dxa" w:w="1417"/>
            <w:shd w:val="clear" w:color="auto" w:fill="DCE6F1"/>
          </w:tcPr>
          <w:p>
            <w:pPr>
              <w:jc w:val="center"/>
            </w:pPr>
            <w:r>
              <w:rPr>
                <w:sz w:val="20"/>
              </w:rPr>
              <w:t>Non</w:t>
            </w:r>
          </w:p>
        </w:tc>
        <w:tc>
          <w:tcPr>
            <w:tcW w:type="dxa" w:w="1247"/>
            <w:shd w:val="clear" w:color="auto" w:fill="DCE6F1"/>
          </w:tcPr>
          <w:p>
            <w:pPr>
              <w:jc w:val="center"/>
            </w:pPr>
            <w:r>
              <w:rPr>
                <w:sz w:val="20"/>
              </w:rPr>
              <w:t>Non</w:t>
            </w:r>
          </w:p>
        </w:tc>
        <w:tc>
          <w:tcPr>
            <w:tcW w:type="dxa" w:w="1134"/>
            <w:shd w:val="clear" w:color="auto" w:fill="DCE6F1"/>
          </w:tcPr>
          <w:p>
            <w:pPr>
              <w:jc w:val="center"/>
            </w:pPr>
            <w:r>
              <w:rPr>
                <w:sz w:val="20"/>
              </w:rPr>
              <w:t>72.3%</w:t>
            </w:r>
          </w:p>
        </w:tc>
        <w:tc>
          <w:tcPr>
            <w:tcW w:type="dxa" w:w="1134"/>
            <w:shd w:val="clear" w:color="auto" w:fill="DCE6F1"/>
          </w:tcPr>
          <w:p>
            <w:pPr>
              <w:jc w:val="center"/>
            </w:pPr>
            <w:r>
              <w:rPr>
                <w:sz w:val="20"/>
              </w:rPr>
              <w:t>77.4%</w:t>
            </w:r>
          </w:p>
        </w:tc>
        <w:tc>
          <w:tcPr>
            <w:tcW w:type="dxa" w:w="1247"/>
            <w:shd w:val="clear" w:color="auto" w:fill="DCE6F1"/>
          </w:tcPr>
          <w:p>
            <w:pPr>
              <w:jc w:val="center"/>
            </w:pPr>
            <w:r>
              <w:rPr>
                <w:sz w:val="20"/>
              </w:rPr>
              <w:t>89.9%</w:t>
            </w:r>
          </w:p>
        </w:tc>
        <w:tc>
          <w:tcPr>
            <w:tcW w:type="dxa" w:w="1020"/>
            <w:shd w:val="clear" w:color="auto" w:fill="DCE6F1"/>
          </w:tcPr>
          <w:p>
            <w:pPr>
              <w:jc w:val="center"/>
            </w:pPr>
            <w:r>
              <w:rPr>
                <w:sz w:val="20"/>
              </w:rPr>
              <w:t>20</w:t>
            </w:r>
          </w:p>
        </w:tc>
      </w:tr>
      <w:tr>
        <w:tc>
          <w:tcPr>
            <w:tcW w:type="dxa" w:w="1984"/>
          </w:tcPr>
          <w:p>
            <w:pPr>
              <w:jc w:val="center"/>
            </w:pPr>
            <w:r>
              <w:rPr>
                <w:sz w:val="20"/>
              </w:rPr>
              <w:t>Exp. 3 — Augmentation</w:t>
            </w:r>
          </w:p>
        </w:tc>
        <w:tc>
          <w:tcPr>
            <w:tcW w:type="dxa" w:w="1814"/>
          </w:tcPr>
          <w:p>
            <w:pPr>
              <w:jc w:val="center"/>
            </w:pPr>
            <w:r>
              <w:rPr>
                <w:sz w:val="20"/>
              </w:rPr>
              <w:t>U-Net Mini</w:t>
            </w:r>
          </w:p>
        </w:tc>
        <w:tc>
          <w:tcPr>
            <w:tcW w:type="dxa" w:w="1417"/>
          </w:tcPr>
          <w:p>
            <w:pPr>
              <w:jc w:val="center"/>
            </w:pPr>
            <w:r>
              <w:rPr>
                <w:sz w:val="20"/>
              </w:rPr>
              <w:t>Light</w:t>
            </w:r>
          </w:p>
        </w:tc>
        <w:tc>
          <w:tcPr>
            <w:tcW w:type="dxa" w:w="1247"/>
          </w:tcPr>
          <w:p>
            <w:pPr>
              <w:jc w:val="center"/>
            </w:pPr>
            <w:r>
              <w:rPr>
                <w:sz w:val="20"/>
              </w:rPr>
              <w:t>×3</w:t>
            </w:r>
          </w:p>
        </w:tc>
        <w:tc>
          <w:tcPr>
            <w:tcW w:type="dxa" w:w="1134"/>
          </w:tcPr>
          <w:p>
            <w:pPr>
              <w:jc w:val="center"/>
            </w:pPr>
            <w:r>
              <w:rPr>
                <w:sz w:val="20"/>
              </w:rPr>
              <w:t>74.0%</w:t>
            </w:r>
          </w:p>
        </w:tc>
        <w:tc>
          <w:tcPr>
            <w:tcW w:type="dxa" w:w="1134"/>
          </w:tcPr>
          <w:p>
            <w:pPr>
              <w:jc w:val="center"/>
            </w:pPr>
            <w:r>
              <w:rPr>
                <w:sz w:val="20"/>
              </w:rPr>
              <w:t>79.2%</w:t>
            </w:r>
          </w:p>
        </w:tc>
        <w:tc>
          <w:tcPr>
            <w:tcW w:type="dxa" w:w="1247"/>
          </w:tcPr>
          <w:p>
            <w:pPr>
              <w:jc w:val="center"/>
            </w:pPr>
            <w:r>
              <w:rPr>
                <w:sz w:val="20"/>
              </w:rPr>
              <w:t>90.4%</w:t>
            </w:r>
          </w:p>
        </w:tc>
        <w:tc>
          <w:tcPr>
            <w:tcW w:type="dxa" w:w="1020"/>
          </w:tcPr>
          <w:p>
            <w:pPr>
              <w:jc w:val="center"/>
            </w:pPr>
            <w:r>
              <w:rPr>
                <w:sz w:val="20"/>
              </w:rPr>
              <w:t>30</w:t>
            </w:r>
          </w:p>
        </w:tc>
      </w:tr>
    </w:tbl>
    <w:p/>
    <w:p>
      <w:pPr>
        <w:pStyle w:val="Heading2"/>
        <w:jc w:val="left"/>
      </w:pPr>
      <w:r>
        <w:t>6.3  Analyse des résultats</w:t>
      </w:r>
    </w:p>
    <w:p>
      <w:pPr>
        <w:spacing w:before="0" w:after="40"/>
        <w:jc w:val="both"/>
      </w:pPr>
      <w:r>
        <w:rPr>
          <w:b/>
          <w:i w:val="0"/>
          <w:sz w:val="22"/>
        </w:rPr>
        <w:t>Impact du backbone pré-entraîné (Exp. 1 → Exp. 2)</w:t>
      </w:r>
    </w:p>
    <w:p>
      <w:pPr>
        <w:spacing w:before="0" w:after="120"/>
        <w:jc w:val="both"/>
      </w:pPr>
      <w:r>
        <w:rPr>
          <w:b w:val="0"/>
          <w:i w:val="0"/>
          <w:sz w:val="22"/>
        </w:rPr>
        <w:t>Le passage d'un encoder custom (U-Net Mini) à MobileNetV2 pré-entraîné sur ImageNet apporte un gain de +2.2% de mIoU (70.1% → 72.3%). Ce gain illustre le bénéfice du transfer learning : les représentations visuelles apprises sur ImageNet (textures, contours, formes) sont directement réutilisables pour la segmentation d'images urbaines.</w:t>
      </w:r>
    </w:p>
    <w:p>
      <w:pPr>
        <w:spacing w:before="0" w:after="40"/>
        <w:jc w:val="both"/>
      </w:pPr>
      <w:r>
        <w:rPr>
          <w:b/>
          <w:i w:val="0"/>
          <w:sz w:val="22"/>
        </w:rPr>
        <w:t>Impact de l'augmentation des données (Exp. 1 → Exp. 3)</w:t>
      </w:r>
    </w:p>
    <w:p>
      <w:pPr>
        <w:spacing w:before="0" w:after="120"/>
        <w:jc w:val="both"/>
      </w:pPr>
      <w:r>
        <w:rPr>
          <w:b w:val="0"/>
          <w:i w:val="0"/>
          <w:sz w:val="22"/>
        </w:rPr>
        <w:t>L'augmentation combinée à l'oversampling des classes rares apporte un gain de +3.9% de mIoU (70.1% → 74.0%), soit le gain le plus élevé des trois expériences. Ce résultat confirme que la diversification artificielle du dataset est le levier le plus efficace pour améliorer la généralisation, sans modifier l'architecture.</w:t>
      </w:r>
    </w:p>
    <w:p>
      <w:pPr>
        <w:spacing w:before="0" w:after="40"/>
        <w:jc w:val="both"/>
      </w:pPr>
      <w:r>
        <w:rPr>
          <w:b/>
          <w:i w:val="0"/>
          <w:sz w:val="22"/>
        </w:rPr>
        <w:t>Convergence et stabilité</w:t>
      </w:r>
    </w:p>
    <w:p>
      <w:pPr>
        <w:spacing w:before="0" w:after="120"/>
        <w:jc w:val="both"/>
      </w:pPr>
      <w:r>
        <w:rPr>
          <w:b w:val="0"/>
          <w:i w:val="0"/>
          <w:sz w:val="22"/>
        </w:rPr>
        <w:t>Les courbes d'apprentissage (Figure 3) montrent que le modèle avec augmentation converge plus lentement (besoin de plus d'epochs) mais atteint un meilleur optimum de validation et présente un écart train/val plus faible, signe d'une meilleure généralisation.</w:t>
      </w:r>
    </w:p>
    <w:p>
      <w:pPr>
        <w:spacing w:before="80"/>
        <w:jc w:val="center"/>
      </w:pPr>
      <w:r>
        <w:drawing>
          <wp:inline xmlns:a="http://schemas.openxmlformats.org/drawingml/2006/main" xmlns:pic="http://schemas.openxmlformats.org/drawingml/2006/picture">
            <wp:extent cx="4680000" cy="1913472"/>
            <wp:docPr id="3" name="Picture 3"/>
            <wp:cNvGraphicFramePr>
              <a:graphicFrameLocks noChangeAspect="1"/>
            </wp:cNvGraphicFramePr>
            <a:graphic>
              <a:graphicData uri="http://schemas.openxmlformats.org/drawingml/2006/picture">
                <pic:pic>
                  <pic:nvPicPr>
                    <pic:cNvPr id="0" name="augmentation_impact.png"/>
                    <pic:cNvPicPr/>
                  </pic:nvPicPr>
                  <pic:blipFill>
                    <a:blip r:embed="rId11"/>
                    <a:stretch>
                      <a:fillRect/>
                    </a:stretch>
                  </pic:blipFill>
                  <pic:spPr>
                    <a:xfrm>
                      <a:off x="0" y="0"/>
                      <a:ext cx="4680000" cy="1913472"/>
                    </a:xfrm>
                    <a:prstGeom prst="rect"/>
                  </pic:spPr>
                </pic:pic>
              </a:graphicData>
            </a:graphic>
          </wp:inline>
        </w:drawing>
      </w:r>
    </w:p>
    <w:p>
      <w:pPr>
        <w:spacing w:after="160"/>
        <w:jc w:val="center"/>
      </w:pPr>
      <w:r>
        <w:rPr>
          <w:i/>
          <w:color w:val="646464"/>
          <w:sz w:val="18"/>
        </w:rPr>
        <w:t>Figure 3 — Comparaison de l'impact de l'augmentation sur les courbes d'apprentissage</w:t>
      </w:r>
    </w:p>
    <w:p>
      <w:pPr>
        <w:pStyle w:val="Heading2"/>
        <w:jc w:val="left"/>
      </w:pPr>
      <w:r>
        <w:t>6.4  Performance par classe</w:t>
      </w:r>
    </w:p>
    <w:p>
      <w:pPr>
        <w:spacing w:before="0" w:after="120"/>
        <w:jc w:val="both"/>
      </w:pPr>
      <w:r>
        <w:rPr>
          <w:b w:val="0"/>
          <w:i w:val="0"/>
          <w:sz w:val="22"/>
        </w:rPr>
        <w:t>L'analyse des métriques par classe (Figure 4) révèle des disparités importantes. Les classes dominantes (flat, sky) atteignent des IoU supérieurs à 85 %, tandis que les classes rares et géométriquement complexes (object, human) restent plus difficiles. L'oversampling améliore sensiblement les scores sur human et vehicle.</w:t>
      </w:r>
    </w:p>
    <w:p>
      <w:pPr>
        <w:spacing w:before="80"/>
        <w:jc w:val="center"/>
      </w:pPr>
      <w:r>
        <w:drawing>
          <wp:inline xmlns:a="http://schemas.openxmlformats.org/drawingml/2006/main" xmlns:pic="http://schemas.openxmlformats.org/drawingml/2006/picture">
            <wp:extent cx="4680000" cy="1743953"/>
            <wp:docPr id="4" name="Picture 4"/>
            <wp:cNvGraphicFramePr>
              <a:graphicFrameLocks noChangeAspect="1"/>
            </wp:cNvGraphicFramePr>
            <a:graphic>
              <a:graphicData uri="http://schemas.openxmlformats.org/drawingml/2006/picture">
                <pic:pic>
                  <pic:nvPicPr>
                    <pic:cNvPr id="0" name="per_class_metrics.png"/>
                    <pic:cNvPicPr/>
                  </pic:nvPicPr>
                  <pic:blipFill>
                    <a:blip r:embed="rId12"/>
                    <a:stretch>
                      <a:fillRect/>
                    </a:stretch>
                  </pic:blipFill>
                  <pic:spPr>
                    <a:xfrm>
                      <a:off x="0" y="0"/>
                      <a:ext cx="4680000" cy="1743953"/>
                    </a:xfrm>
                    <a:prstGeom prst="rect"/>
                  </pic:spPr>
                </pic:pic>
              </a:graphicData>
            </a:graphic>
          </wp:inline>
        </w:drawing>
      </w:r>
    </w:p>
    <w:p>
      <w:pPr>
        <w:spacing w:after="160"/>
        <w:jc w:val="center"/>
      </w:pPr>
      <w:r>
        <w:rPr>
          <w:i/>
          <w:color w:val="646464"/>
          <w:sz w:val="18"/>
        </w:rPr>
        <w:t>Figure 4 — IoU par classe (meilleur modèle)</w:t>
      </w:r>
    </w:p>
    <w:p>
      <w:pPr>
        <w:spacing w:before="80"/>
        <w:jc w:val="center"/>
      </w:pPr>
      <w:r>
        <w:drawing>
          <wp:inline xmlns:a="http://schemas.openxmlformats.org/drawingml/2006/main" xmlns:pic="http://schemas.openxmlformats.org/drawingml/2006/picture">
            <wp:extent cx="4320000" cy="3765664"/>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4320000" cy="3765664"/>
                    </a:xfrm>
                    <a:prstGeom prst="rect"/>
                  </pic:spPr>
                </pic:pic>
              </a:graphicData>
            </a:graphic>
          </wp:inline>
        </w:drawing>
      </w:r>
    </w:p>
    <w:p>
      <w:pPr>
        <w:spacing w:after="160"/>
        <w:jc w:val="center"/>
      </w:pPr>
      <w:r>
        <w:rPr>
          <w:i/>
          <w:color w:val="646464"/>
          <w:sz w:val="18"/>
        </w:rPr>
        <w:t>Figure 5 — Matrice de confusion normalisée (meilleur modèle)</w:t>
      </w:r>
    </w:p>
    <w:p>
      <w:pPr>
        <w:pStyle w:val="Heading2"/>
        <w:jc w:val="left"/>
      </w:pPr>
      <w:r>
        <w:t>6.5  Visualisations qualitatives</w:t>
      </w:r>
    </w:p>
    <w:p>
      <w:pPr>
        <w:spacing w:before="0" w:after="120"/>
        <w:jc w:val="both"/>
      </w:pPr>
      <w:r>
        <w:rPr>
          <w:b w:val="0"/>
          <w:i w:val="0"/>
          <w:sz w:val="22"/>
        </w:rPr>
        <w:t>Les exemples de prédiction (Figure 6) illustrent la qualité visuelle des segmentations obtenues. Les grandes zones (route, ciel, bâtiments) sont correctement délimitées. Les erreurs principales concernent les frontières entre classes adjacentes et les petits objets (poteaux, piétons distants).</w:t>
      </w:r>
    </w:p>
    <w:p>
      <w:pPr>
        <w:spacing w:before="80"/>
        <w:jc w:val="center"/>
      </w:pPr>
      <w:r>
        <w:drawing>
          <wp:inline xmlns:a="http://schemas.openxmlformats.org/drawingml/2006/main" xmlns:pic="http://schemas.openxmlformats.org/drawingml/2006/picture">
            <wp:extent cx="5040000" cy="5063245"/>
            <wp:docPr id="6" name="Picture 6"/>
            <wp:cNvGraphicFramePr>
              <a:graphicFrameLocks noChangeAspect="1"/>
            </wp:cNvGraphicFramePr>
            <a:graphic>
              <a:graphicData uri="http://schemas.openxmlformats.org/drawingml/2006/picture">
                <pic:pic>
                  <pic:nvPicPr>
                    <pic:cNvPr id="0" name="predictions_examples.png"/>
                    <pic:cNvPicPr/>
                  </pic:nvPicPr>
                  <pic:blipFill>
                    <a:blip r:embed="rId14"/>
                    <a:stretch>
                      <a:fillRect/>
                    </a:stretch>
                  </pic:blipFill>
                  <pic:spPr>
                    <a:xfrm>
                      <a:off x="0" y="0"/>
                      <a:ext cx="5040000" cy="5063245"/>
                    </a:xfrm>
                    <a:prstGeom prst="rect"/>
                  </pic:spPr>
                </pic:pic>
              </a:graphicData>
            </a:graphic>
          </wp:inline>
        </w:drawing>
      </w:r>
    </w:p>
    <w:p>
      <w:pPr>
        <w:spacing w:after="160"/>
        <w:jc w:val="center"/>
      </w:pPr>
      <w:r>
        <w:rPr>
          <w:i/>
          <w:color w:val="646464"/>
          <w:sz w:val="18"/>
        </w:rPr>
        <w:t>Figure 6 — Exemples : image originale / masque ground truth / masque prédit</w:t>
      </w:r>
    </w:p>
    <w:p>
      <w:r>
        <w:br w:type="page"/>
      </w:r>
    </w:p>
    <w:p>
      <w:pPr>
        <w:pStyle w:val="Heading1"/>
        <w:jc w:val="left"/>
      </w:pPr>
      <w:r>
        <w:t>7. Mise en production</w:t>
      </w:r>
    </w:p>
    <w:p>
      <w:pPr>
        <w:pStyle w:val="Heading2"/>
        <w:jc w:val="left"/>
      </w:pPr>
      <w:r>
        <w:t>7.1  Services déployés</w:t>
      </w:r>
    </w:p>
    <w:p>
      <w:pPr>
        <w:spacing w:before="0" w:after="120"/>
        <w:jc w:val="both"/>
      </w:pPr>
      <w:r>
        <w:rPr>
          <w:b w:val="0"/>
          <w:i w:val="0"/>
          <w:sz w:val="22"/>
        </w:rPr>
        <w:t>Le système est accessible en ligne via deux services complémentaires :</w:t>
      </w:r>
    </w:p>
    <w:tbl>
      <w:tblPr>
        <w:tblStyle w:val="TableGrid"/>
        <w:tblW w:type="auto" w:w="0"/>
        <w:jc w:val="center"/>
        <w:tblLook w:firstColumn="1" w:firstRow="1" w:lastColumn="0" w:lastRow="0" w:noHBand="0" w:noVBand="1" w:val="04A0"/>
      </w:tblPr>
      <w:tblGrid>
        <w:gridCol w:w="3022"/>
        <w:gridCol w:w="3022"/>
        <w:gridCol w:w="3022"/>
      </w:tblGrid>
      <w:tr>
        <w:tc>
          <w:tcPr>
            <w:tcW w:type="dxa" w:w="1984"/>
            <w:shd w:val="clear" w:color="auto" w:fill="1F497D"/>
          </w:tcPr>
          <w:p>
            <w:pPr>
              <w:jc w:val="center"/>
            </w:pPr>
            <w:r>
              <w:rPr>
                <w:b/>
                <w:color w:val="FFFFFF"/>
                <w:sz w:val="20"/>
              </w:rPr>
              <w:t>Service</w:t>
            </w:r>
          </w:p>
        </w:tc>
        <w:tc>
          <w:tcPr>
            <w:tcW w:type="dxa" w:w="3118"/>
            <w:shd w:val="clear" w:color="auto" w:fill="1F497D"/>
          </w:tcPr>
          <w:p>
            <w:pPr>
              <w:jc w:val="center"/>
            </w:pPr>
            <w:r>
              <w:rPr>
                <w:b/>
                <w:color w:val="FFFFFF"/>
                <w:sz w:val="20"/>
              </w:rPr>
              <w:t>URL</w:t>
            </w:r>
          </w:p>
        </w:tc>
        <w:tc>
          <w:tcPr>
            <w:tcW w:type="dxa" w:w="3118"/>
            <w:shd w:val="clear" w:color="auto" w:fill="1F497D"/>
          </w:tcPr>
          <w:p>
            <w:pPr>
              <w:jc w:val="center"/>
            </w:pPr>
            <w:r>
              <w:rPr>
                <w:b/>
                <w:color w:val="FFFFFF"/>
                <w:sz w:val="20"/>
              </w:rPr>
              <w:t>Description</w:t>
            </w:r>
          </w:p>
        </w:tc>
      </w:tr>
      <w:tr>
        <w:tc>
          <w:tcPr>
            <w:tcW w:type="dxa" w:w="1984"/>
          </w:tcPr>
          <w:p>
            <w:pPr>
              <w:jc w:val="center"/>
            </w:pPr>
            <w:r>
              <w:rPr>
                <w:sz w:val="20"/>
              </w:rPr>
              <w:t>API de prédiction</w:t>
            </w:r>
          </w:p>
        </w:tc>
        <w:tc>
          <w:tcPr>
            <w:tcW w:type="dxa" w:w="3118"/>
          </w:tcPr>
          <w:p>
            <w:pPr>
              <w:jc w:val="center"/>
            </w:pPr>
            <w:r>
              <w:rPr>
                <w:sz w:val="20"/>
              </w:rPr>
              <w:t>p8-api.nathangracia.com</w:t>
            </w:r>
          </w:p>
        </w:tc>
        <w:tc>
          <w:tcPr>
            <w:tcW w:type="dxa" w:w="3118"/>
          </w:tcPr>
          <w:p>
            <w:pPr>
              <w:jc w:val="center"/>
            </w:pPr>
            <w:r>
              <w:rPr>
                <w:sz w:val="20"/>
              </w:rPr>
              <w:t>Endpoints REST — prédiction, images, health check</w:t>
            </w:r>
          </w:p>
        </w:tc>
      </w:tr>
      <w:tr>
        <w:tc>
          <w:tcPr>
            <w:tcW w:type="dxa" w:w="1984"/>
            <w:shd w:val="clear" w:color="auto" w:fill="DCE6F1"/>
          </w:tcPr>
          <w:p>
            <w:pPr>
              <w:jc w:val="center"/>
            </w:pPr>
            <w:r>
              <w:rPr>
                <w:sz w:val="20"/>
              </w:rPr>
              <w:t>Documentation API</w:t>
            </w:r>
          </w:p>
        </w:tc>
        <w:tc>
          <w:tcPr>
            <w:tcW w:type="dxa" w:w="3118"/>
            <w:shd w:val="clear" w:color="auto" w:fill="DCE6F1"/>
          </w:tcPr>
          <w:p>
            <w:pPr>
              <w:jc w:val="center"/>
            </w:pPr>
            <w:r>
              <w:rPr>
                <w:sz w:val="20"/>
              </w:rPr>
              <w:t>p8-api.nathangracia.com/docs</w:t>
            </w:r>
          </w:p>
        </w:tc>
        <w:tc>
          <w:tcPr>
            <w:tcW w:type="dxa" w:w="3118"/>
            <w:shd w:val="clear" w:color="auto" w:fill="DCE6F1"/>
          </w:tcPr>
          <w:p>
            <w:pPr>
              <w:jc w:val="center"/>
            </w:pPr>
            <w:r>
              <w:rPr>
                <w:sz w:val="20"/>
              </w:rPr>
              <w:t>Interface Swagger interactive (OpenAPI)</w:t>
            </w:r>
          </w:p>
        </w:tc>
      </w:tr>
      <w:tr>
        <w:tc>
          <w:tcPr>
            <w:tcW w:type="dxa" w:w="1984"/>
          </w:tcPr>
          <w:p>
            <w:pPr>
              <w:jc w:val="center"/>
            </w:pPr>
            <w:r>
              <w:rPr>
                <w:sz w:val="20"/>
              </w:rPr>
              <w:t>Application web</w:t>
            </w:r>
          </w:p>
        </w:tc>
        <w:tc>
          <w:tcPr>
            <w:tcW w:type="dxa" w:w="3118"/>
          </w:tcPr>
          <w:p>
            <w:pPr>
              <w:jc w:val="center"/>
            </w:pPr>
            <w:r>
              <w:rPr>
                <w:sz w:val="20"/>
              </w:rPr>
              <w:t>p8.nathangracia.com</w:t>
            </w:r>
          </w:p>
        </w:tc>
        <w:tc>
          <w:tcPr>
            <w:tcW w:type="dxa" w:w="3118"/>
          </w:tcPr>
          <w:p>
            <w:pPr>
              <w:jc w:val="center"/>
            </w:pPr>
            <w:r>
              <w:rPr>
                <w:sz w:val="20"/>
              </w:rPr>
              <w:t>Interface Streamlit de démonstration</w:t>
            </w:r>
          </w:p>
        </w:tc>
      </w:tr>
    </w:tbl>
    <w:p/>
    <w:p>
      <w:pPr>
        <w:pStyle w:val="Heading2"/>
        <w:jc w:val="left"/>
      </w:pPr>
      <w:r>
        <w:t>7.2  Endpoints de l'API</w:t>
      </w:r>
    </w:p>
    <w:p>
      <w:pPr>
        <w:spacing w:before="0" w:after="120"/>
        <w:jc w:val="both"/>
      </w:pPr>
      <w:r>
        <w:rPr>
          <w:b w:val="0"/>
          <w:i w:val="0"/>
          <w:sz w:val="22"/>
        </w:rPr>
        <w:t>L'API expose six endpoints documentés sur p8-api.nathangracia.com/docs :</w:t>
      </w:r>
    </w:p>
    <w:tbl>
      <w:tblPr>
        <w:tblStyle w:val="TableGrid"/>
        <w:tblW w:type="auto" w:w="0"/>
        <w:jc w:val="center"/>
        <w:tblLook w:firstColumn="1" w:firstRow="1" w:lastColumn="0" w:lastRow="0" w:noHBand="0" w:noVBand="1" w:val="04A0"/>
      </w:tblPr>
      <w:tblGrid>
        <w:gridCol w:w="3022"/>
        <w:gridCol w:w="3022"/>
        <w:gridCol w:w="3022"/>
      </w:tblGrid>
      <w:tr>
        <w:tc>
          <w:tcPr>
            <w:tcW w:type="dxa" w:w="1134"/>
            <w:shd w:val="clear" w:color="auto" w:fill="1F497D"/>
          </w:tcPr>
          <w:p>
            <w:pPr>
              <w:jc w:val="center"/>
            </w:pPr>
            <w:r>
              <w:rPr>
                <w:b/>
                <w:color w:val="FFFFFF"/>
                <w:sz w:val="20"/>
              </w:rPr>
              <w:t>Méthode</w:t>
            </w:r>
          </w:p>
        </w:tc>
        <w:tc>
          <w:tcPr>
            <w:tcW w:type="dxa" w:w="2551"/>
            <w:shd w:val="clear" w:color="auto" w:fill="1F497D"/>
          </w:tcPr>
          <w:p>
            <w:pPr>
              <w:jc w:val="center"/>
            </w:pPr>
            <w:r>
              <w:rPr>
                <w:b/>
                <w:color w:val="FFFFFF"/>
                <w:sz w:val="20"/>
              </w:rPr>
              <w:t>Endpoint</w:t>
            </w:r>
          </w:p>
        </w:tc>
        <w:tc>
          <w:tcPr>
            <w:tcW w:type="dxa" w:w="4535"/>
            <w:shd w:val="clear" w:color="auto" w:fill="1F497D"/>
          </w:tcPr>
          <w:p>
            <w:pPr>
              <w:jc w:val="center"/>
            </w:pPr>
            <w:r>
              <w:rPr>
                <w:b/>
                <w:color w:val="FFFFFF"/>
                <w:sz w:val="20"/>
              </w:rPr>
              <w:t>Description</w:t>
            </w:r>
          </w:p>
        </w:tc>
      </w:tr>
      <w:tr>
        <w:tc>
          <w:tcPr>
            <w:tcW w:type="dxa" w:w="1134"/>
          </w:tcPr>
          <w:p>
            <w:pPr>
              <w:jc w:val="center"/>
            </w:pPr>
            <w:r>
              <w:rPr>
                <w:sz w:val="20"/>
              </w:rPr>
              <w:t>GET</w:t>
            </w:r>
          </w:p>
        </w:tc>
        <w:tc>
          <w:tcPr>
            <w:tcW w:type="dxa" w:w="2551"/>
          </w:tcPr>
          <w:p>
            <w:pPr>
              <w:jc w:val="center"/>
            </w:pPr>
            <w:r>
              <w:rPr>
                <w:sz w:val="20"/>
              </w:rPr>
              <w:t>/</w:t>
            </w:r>
          </w:p>
        </w:tc>
        <w:tc>
          <w:tcPr>
            <w:tcW w:type="dxa" w:w="4535"/>
          </w:tcPr>
          <w:p>
            <w:pPr>
              <w:jc w:val="center"/>
            </w:pPr>
            <w:r>
              <w:rPr>
                <w:sz w:val="20"/>
              </w:rPr>
              <w:t>Health check — état de l'API et informations sur le modèle chargé</w:t>
            </w:r>
          </w:p>
        </w:tc>
      </w:tr>
      <w:tr>
        <w:tc>
          <w:tcPr>
            <w:tcW w:type="dxa" w:w="1134"/>
            <w:shd w:val="clear" w:color="auto" w:fill="DCE6F1"/>
          </w:tcPr>
          <w:p>
            <w:pPr>
              <w:jc w:val="center"/>
            </w:pPr>
            <w:r>
              <w:rPr>
                <w:sz w:val="20"/>
              </w:rPr>
              <w:t>GET</w:t>
            </w:r>
          </w:p>
        </w:tc>
        <w:tc>
          <w:tcPr>
            <w:tcW w:type="dxa" w:w="2551"/>
            <w:shd w:val="clear" w:color="auto" w:fill="DCE6F1"/>
          </w:tcPr>
          <w:p>
            <w:pPr>
              <w:jc w:val="center"/>
            </w:pPr>
            <w:r>
              <w:rPr>
                <w:sz w:val="20"/>
              </w:rPr>
              <w:t>/images</w:t>
            </w:r>
          </w:p>
        </w:tc>
        <w:tc>
          <w:tcPr>
            <w:tcW w:type="dxa" w:w="4535"/>
            <w:shd w:val="clear" w:color="auto" w:fill="DCE6F1"/>
          </w:tcPr>
          <w:p>
            <w:pPr>
              <w:jc w:val="center"/>
            </w:pPr>
            <w:r>
              <w:rPr>
                <w:sz w:val="20"/>
              </w:rPr>
              <w:t>Liste des 9 images de validation disponibles</w:t>
            </w:r>
          </w:p>
        </w:tc>
      </w:tr>
      <w:tr>
        <w:tc>
          <w:tcPr>
            <w:tcW w:type="dxa" w:w="1134"/>
          </w:tcPr>
          <w:p>
            <w:pPr>
              <w:jc w:val="center"/>
            </w:pPr>
            <w:r>
              <w:rPr>
                <w:sz w:val="20"/>
              </w:rPr>
              <w:t>GET</w:t>
            </w:r>
          </w:p>
        </w:tc>
        <w:tc>
          <w:tcPr>
            <w:tcW w:type="dxa" w:w="2551"/>
          </w:tcPr>
          <w:p>
            <w:pPr>
              <w:jc w:val="center"/>
            </w:pPr>
            <w:r>
              <w:rPr>
                <w:sz w:val="20"/>
              </w:rPr>
              <w:t>/images/{id}/rgb</w:t>
            </w:r>
          </w:p>
        </w:tc>
        <w:tc>
          <w:tcPr>
            <w:tcW w:type="dxa" w:w="4535"/>
          </w:tcPr>
          <w:p>
            <w:pPr>
              <w:jc w:val="center"/>
            </w:pPr>
            <w:r>
              <w:rPr>
                <w:sz w:val="20"/>
              </w:rPr>
              <w:t>Image RGB originale du dataset (PNG)</w:t>
            </w:r>
          </w:p>
        </w:tc>
      </w:tr>
      <w:tr>
        <w:tc>
          <w:tcPr>
            <w:tcW w:type="dxa" w:w="1134"/>
            <w:shd w:val="clear" w:color="auto" w:fill="DCE6F1"/>
          </w:tcPr>
          <w:p>
            <w:pPr>
              <w:jc w:val="center"/>
            </w:pPr>
            <w:r>
              <w:rPr>
                <w:sz w:val="20"/>
              </w:rPr>
              <w:t>GET</w:t>
            </w:r>
          </w:p>
        </w:tc>
        <w:tc>
          <w:tcPr>
            <w:tcW w:type="dxa" w:w="2551"/>
            <w:shd w:val="clear" w:color="auto" w:fill="DCE6F1"/>
          </w:tcPr>
          <w:p>
            <w:pPr>
              <w:jc w:val="center"/>
            </w:pPr>
            <w:r>
              <w:rPr>
                <w:sz w:val="20"/>
              </w:rPr>
              <w:t>/images/{id}/gt</w:t>
            </w:r>
          </w:p>
        </w:tc>
        <w:tc>
          <w:tcPr>
            <w:tcW w:type="dxa" w:w="4535"/>
            <w:shd w:val="clear" w:color="auto" w:fill="DCE6F1"/>
          </w:tcPr>
          <w:p>
            <w:pPr>
              <w:jc w:val="center"/>
            </w:pPr>
            <w:r>
              <w:rPr>
                <w:sz w:val="20"/>
              </w:rPr>
              <w:t>Masque ground truth colorisé 8 classes (PNG)</w:t>
            </w:r>
          </w:p>
        </w:tc>
      </w:tr>
      <w:tr>
        <w:tc>
          <w:tcPr>
            <w:tcW w:type="dxa" w:w="1134"/>
          </w:tcPr>
          <w:p>
            <w:pPr>
              <w:jc w:val="center"/>
            </w:pPr>
            <w:r>
              <w:rPr>
                <w:sz w:val="20"/>
              </w:rPr>
              <w:t>POST</w:t>
            </w:r>
          </w:p>
        </w:tc>
        <w:tc>
          <w:tcPr>
            <w:tcW w:type="dxa" w:w="2551"/>
          </w:tcPr>
          <w:p>
            <w:pPr>
              <w:jc w:val="center"/>
            </w:pPr>
            <w:r>
              <w:rPr>
                <w:sz w:val="20"/>
              </w:rPr>
              <w:t>/predict</w:t>
            </w:r>
          </w:p>
        </w:tc>
        <w:tc>
          <w:tcPr>
            <w:tcW w:type="dxa" w:w="4535"/>
          </w:tcPr>
          <w:p>
            <w:pPr>
              <w:jc w:val="center"/>
            </w:pPr>
            <w:r>
              <w:rPr>
                <w:sz w:val="20"/>
              </w:rPr>
              <w:t>Upload d'une image (JPEG/PNG) → masque de segmentation prédit (PNG)</w:t>
            </w:r>
          </w:p>
        </w:tc>
      </w:tr>
      <w:tr>
        <w:tc>
          <w:tcPr>
            <w:tcW w:type="dxa" w:w="1134"/>
            <w:shd w:val="clear" w:color="auto" w:fill="DCE6F1"/>
          </w:tcPr>
          <w:p>
            <w:pPr>
              <w:jc w:val="center"/>
            </w:pPr>
            <w:r>
              <w:rPr>
                <w:sz w:val="20"/>
              </w:rPr>
              <w:t>GET</w:t>
            </w:r>
          </w:p>
        </w:tc>
        <w:tc>
          <w:tcPr>
            <w:tcW w:type="dxa" w:w="2551"/>
            <w:shd w:val="clear" w:color="auto" w:fill="DCE6F1"/>
          </w:tcPr>
          <w:p>
            <w:pPr>
              <w:jc w:val="center"/>
            </w:pPr>
            <w:r>
              <w:rPr>
                <w:sz w:val="20"/>
              </w:rPr>
              <w:t>/predict/{id}</w:t>
            </w:r>
          </w:p>
        </w:tc>
        <w:tc>
          <w:tcPr>
            <w:tcW w:type="dxa" w:w="4535"/>
            <w:shd w:val="clear" w:color="auto" w:fill="DCE6F1"/>
          </w:tcPr>
          <w:p>
            <w:pPr>
              <w:jc w:val="center"/>
            </w:pPr>
            <w:r>
              <w:rPr>
                <w:sz w:val="20"/>
              </w:rPr>
              <w:t>Prédiction sur une image du dataset identifiée par son ID (PNG)</w:t>
            </w:r>
          </w:p>
        </w:tc>
      </w:tr>
    </w:tbl>
    <w:p/>
    <w:p>
      <w:pPr>
        <w:pStyle w:val="Heading2"/>
        <w:jc w:val="left"/>
      </w:pPr>
      <w:r>
        <w:t>7.3  Architecture technique</w:t>
      </w:r>
    </w:p>
    <w:p>
      <w:pPr>
        <w:spacing w:before="0" w:after="120"/>
        <w:jc w:val="both"/>
      </w:pPr>
      <w:r>
        <w:rPr>
          <w:b w:val="0"/>
          <w:i w:val="0"/>
          <w:sz w:val="22"/>
        </w:rPr>
        <w:t>Le système repose sur deux containers Docker orchestrés via Docker Compose, déployés sur un VPS derrière un reverse proxy Caddy (HTTPS automatique) :</w:t>
      </w:r>
    </w:p>
    <w:p>
      <w:pPr>
        <w:pStyle w:val="ListBullet"/>
        <w:spacing w:after="40"/>
      </w:pPr>
      <w:r>
        <w:rPr>
          <w:sz w:val="22"/>
        </w:rPr>
        <w:t>Container p8-api : FastAPI + Uvicorn, charge le modèle en mémoire au démarrage.</w:t>
      </w:r>
    </w:p>
    <w:p>
      <w:pPr>
        <w:pStyle w:val="ListBullet"/>
        <w:spacing w:after="40"/>
      </w:pPr>
      <w:r>
        <w:rPr>
          <w:sz w:val="22"/>
        </w:rPr>
        <w:t>Container p8-streamlit : application Streamlit, communique avec l'API via le réseau Docker interne.</w:t>
      </w:r>
    </w:p>
    <w:p>
      <w:pPr>
        <w:pStyle w:val="ListBullet"/>
        <w:spacing w:after="40"/>
      </w:pPr>
      <w:r>
        <w:rPr>
          <w:sz w:val="22"/>
        </w:rPr>
        <w:t>Caddy : gère les certificats SSL et route le trafic vers chaque container selon le sous-domaine.</w:t>
      </w:r>
    </w:p>
    <w:p>
      <w:pPr>
        <w:pStyle w:val="Heading2"/>
        <w:jc w:val="left"/>
      </w:pPr>
      <w:r>
        <w:t>7.4  Déploiement continu avec GitHub Actions</w:t>
      </w:r>
    </w:p>
    <w:p>
      <w:pPr>
        <w:spacing w:before="0" w:after="120"/>
        <w:jc w:val="both"/>
      </w:pPr>
      <w:r>
        <w:rPr>
          <w:b w:val="0"/>
          <w:i w:val="0"/>
          <w:sz w:val="22"/>
        </w:rPr>
        <w:t>La mise en production est entièrement automatisée via un workflow GitHub Actions. À chaque push sur la branche master, le pipeline se déclenche automatiquement :</w:t>
      </w:r>
    </w:p>
    <w:p>
      <w:pPr>
        <w:pStyle w:val="ListBullet"/>
        <w:spacing w:after="40"/>
      </w:pPr>
      <w:r>
        <w:rPr>
          <w:sz w:val="22"/>
        </w:rPr>
        <w:t>Connexion SSH au VPS via une clé privée stockée dans les secrets GitHub.</w:t>
      </w:r>
    </w:p>
    <w:p>
      <w:pPr>
        <w:pStyle w:val="ListBullet"/>
        <w:spacing w:after="40"/>
      </w:pPr>
      <w:r>
        <w:rPr>
          <w:sz w:val="22"/>
        </w:rPr>
        <w:t>git pull — récupération du code mis à jour.</w:t>
      </w:r>
    </w:p>
    <w:p>
      <w:pPr>
        <w:pStyle w:val="ListBullet"/>
        <w:spacing w:after="40"/>
      </w:pPr>
      <w:r>
        <w:rPr>
          <w:sz w:val="22"/>
        </w:rPr>
        <w:t>docker compose up -d --build — rebuild et redémarrage des containers.</w:t>
      </w:r>
    </w:p>
    <w:p>
      <w:pPr>
        <w:spacing w:before="0" w:after="120"/>
        <w:jc w:val="both"/>
      </w:pPr>
      <w:r>
        <w:rPr>
          <w:b w:val="0"/>
          <w:i w:val="0"/>
          <w:sz w:val="22"/>
        </w:rPr>
        <w:t>Ce processus garantit que le serveur est toujours synchronisé avec le code du dépôt, sans intervention manuelle. Le déploiement d'une nouvelle version du modèle ou d'une correction de l'API se résume à un simple git push.</w:t>
      </w:r>
    </w:p>
    <w:p>
      <w:r>
        <w:br w:type="page"/>
      </w:r>
    </w:p>
    <w:p>
      <w:pPr>
        <w:pStyle w:val="Heading1"/>
        <w:jc w:val="left"/>
      </w:pPr>
      <w:r>
        <w:t>8. Conclusion et pistes d'amélioration</w:t>
      </w:r>
    </w:p>
    <w:p>
      <w:pPr>
        <w:pStyle w:val="Heading2"/>
        <w:jc w:val="left"/>
      </w:pPr>
      <w:r>
        <w:t>8.1  Bilan</w:t>
      </w:r>
    </w:p>
    <w:p>
      <w:pPr>
        <w:spacing w:before="0" w:after="120"/>
        <w:jc w:val="both"/>
      </w:pPr>
      <w:r>
        <w:rPr>
          <w:b w:val="0"/>
          <w:i w:val="0"/>
          <w:sz w:val="22"/>
        </w:rPr>
        <w:t>Ce projet a abouti à la mise en production d'un pipeline complet de segmentation sémantique pour la conduite autonome. L'objectif de mIoU &gt; 60 % est largement dépassé, le meilleur modèle atteignant 74.0% de mIoU sur le split de validation Cityscapes.</w:t>
      </w:r>
    </w:p>
    <w:tbl>
      <w:tblPr>
        <w:tblStyle w:val="TableGrid"/>
        <w:tblW w:type="auto" w:w="0"/>
        <w:jc w:val="center"/>
        <w:tblLook w:firstColumn="1" w:firstRow="1" w:lastColumn="0" w:lastRow="0" w:noHBand="0" w:noVBand="1" w:val="04A0"/>
      </w:tblPr>
      <w:tblGrid>
        <w:gridCol w:w="4533"/>
        <w:gridCol w:w="4533"/>
      </w:tblGrid>
      <w:tr>
        <w:tc>
          <w:tcPr>
            <w:tcW w:type="dxa" w:w="6236"/>
            <w:shd w:val="clear" w:color="auto" w:fill="1F497D"/>
          </w:tcPr>
          <w:p>
            <w:pPr>
              <w:jc w:val="center"/>
            </w:pPr>
            <w:r>
              <w:rPr>
                <w:b/>
                <w:color w:val="FFFFFF"/>
                <w:sz w:val="20"/>
              </w:rPr>
              <w:t>Livrable</w:t>
            </w:r>
          </w:p>
        </w:tc>
        <w:tc>
          <w:tcPr>
            <w:tcW w:type="dxa" w:w="1984"/>
            <w:shd w:val="clear" w:color="auto" w:fill="1F497D"/>
          </w:tcPr>
          <w:p>
            <w:pPr>
              <w:jc w:val="center"/>
            </w:pPr>
            <w:r>
              <w:rPr>
                <w:b/>
                <w:color w:val="FFFFFF"/>
                <w:sz w:val="20"/>
              </w:rPr>
              <w:t>Statut</w:t>
            </w:r>
          </w:p>
        </w:tc>
      </w:tr>
      <w:tr>
        <w:tc>
          <w:tcPr>
            <w:tcW w:type="dxa" w:w="6236"/>
          </w:tcPr>
          <w:p>
            <w:pPr>
              <w:jc w:val="center"/>
            </w:pPr>
            <w:r>
              <w:rPr>
                <w:sz w:val="20"/>
              </w:rPr>
              <w:t>Pipeline de données industrialisable (CityscapesSequence)</w:t>
            </w:r>
          </w:p>
        </w:tc>
        <w:tc>
          <w:tcPr>
            <w:tcW w:type="dxa" w:w="1984"/>
          </w:tcPr>
          <w:p>
            <w:pPr>
              <w:jc w:val="center"/>
            </w:pPr>
            <w:r>
              <w:rPr>
                <w:sz w:val="20"/>
              </w:rPr>
              <w:t>✓ Réalisé</w:t>
            </w:r>
          </w:p>
        </w:tc>
      </w:tr>
      <w:tr>
        <w:tc>
          <w:tcPr>
            <w:tcW w:type="dxa" w:w="6236"/>
            <w:shd w:val="clear" w:color="auto" w:fill="DCE6F1"/>
          </w:tcPr>
          <w:p>
            <w:pPr>
              <w:jc w:val="center"/>
            </w:pPr>
            <w:r>
              <w:rPr>
                <w:sz w:val="20"/>
              </w:rPr>
              <w:t>Modèle U-Net + MobileNetV2 entraîné</w:t>
            </w:r>
          </w:p>
        </w:tc>
        <w:tc>
          <w:tcPr>
            <w:tcW w:type="dxa" w:w="1984"/>
            <w:shd w:val="clear" w:color="auto" w:fill="DCE6F1"/>
          </w:tcPr>
          <w:p>
            <w:pPr>
              <w:jc w:val="center"/>
            </w:pPr>
            <w:r>
              <w:rPr>
                <w:sz w:val="20"/>
              </w:rPr>
              <w:t>✓ Réalisé</w:t>
            </w:r>
          </w:p>
        </w:tc>
      </w:tr>
      <w:tr>
        <w:tc>
          <w:tcPr>
            <w:tcW w:type="dxa" w:w="6236"/>
          </w:tcPr>
          <w:p>
            <w:pPr>
              <w:jc w:val="center"/>
            </w:pPr>
            <w:r>
              <w:rPr>
                <w:sz w:val="20"/>
              </w:rPr>
              <w:t>Notebook de modélisation avec comparaisons</w:t>
            </w:r>
          </w:p>
        </w:tc>
        <w:tc>
          <w:tcPr>
            <w:tcW w:type="dxa" w:w="1984"/>
          </w:tcPr>
          <w:p>
            <w:pPr>
              <w:jc w:val="center"/>
            </w:pPr>
            <w:r>
              <w:rPr>
                <w:sz w:val="20"/>
              </w:rPr>
              <w:t>✓ Réalisé</w:t>
            </w:r>
          </w:p>
        </w:tc>
      </w:tr>
      <w:tr>
        <w:tc>
          <w:tcPr>
            <w:tcW w:type="dxa" w:w="6236"/>
            <w:shd w:val="clear" w:color="auto" w:fill="DCE6F1"/>
          </w:tcPr>
          <w:p>
            <w:pPr>
              <w:jc w:val="center"/>
            </w:pPr>
            <w:r>
              <w:rPr>
                <w:sz w:val="20"/>
              </w:rPr>
              <w:t>API FastAPI déployée (Docker)</w:t>
            </w:r>
          </w:p>
        </w:tc>
        <w:tc>
          <w:tcPr>
            <w:tcW w:type="dxa" w:w="1984"/>
            <w:shd w:val="clear" w:color="auto" w:fill="DCE6F1"/>
          </w:tcPr>
          <w:p>
            <w:pPr>
              <w:jc w:val="center"/>
            </w:pPr>
            <w:r>
              <w:rPr>
                <w:sz w:val="20"/>
              </w:rPr>
              <w:t>✓ Réalisé</w:t>
            </w:r>
          </w:p>
        </w:tc>
      </w:tr>
      <w:tr>
        <w:tc>
          <w:tcPr>
            <w:tcW w:type="dxa" w:w="6236"/>
          </w:tcPr>
          <w:p>
            <w:pPr>
              <w:jc w:val="center"/>
            </w:pPr>
            <w:r>
              <w:rPr>
                <w:sz w:val="20"/>
              </w:rPr>
              <w:t>Application web Streamlit déployée (Docker)</w:t>
            </w:r>
          </w:p>
        </w:tc>
        <w:tc>
          <w:tcPr>
            <w:tcW w:type="dxa" w:w="1984"/>
          </w:tcPr>
          <w:p>
            <w:pPr>
              <w:jc w:val="center"/>
            </w:pPr>
            <w:r>
              <w:rPr>
                <w:sz w:val="20"/>
              </w:rPr>
              <w:t>✓ Réalisé</w:t>
            </w:r>
          </w:p>
        </w:tc>
      </w:tr>
      <w:tr>
        <w:tc>
          <w:tcPr>
            <w:tcW w:type="dxa" w:w="6236"/>
            <w:shd w:val="clear" w:color="auto" w:fill="DCE6F1"/>
          </w:tcPr>
          <w:p>
            <w:pPr>
              <w:jc w:val="center"/>
            </w:pPr>
            <w:r>
              <w:rPr>
                <w:sz w:val="20"/>
              </w:rPr>
              <w:t>Objectif mIoU &gt; 60 %</w:t>
            </w:r>
          </w:p>
        </w:tc>
        <w:tc>
          <w:tcPr>
            <w:tcW w:type="dxa" w:w="1984"/>
            <w:shd w:val="clear" w:color="auto" w:fill="DCE6F1"/>
          </w:tcPr>
          <w:p>
            <w:pPr>
              <w:jc w:val="center"/>
            </w:pPr>
            <w:r>
              <w:rPr>
                <w:sz w:val="20"/>
              </w:rPr>
              <w:t>✓ Atteint (74.0%)</w:t>
            </w:r>
          </w:p>
        </w:tc>
      </w:tr>
    </w:tbl>
    <w:p/>
    <w:p>
      <w:pPr>
        <w:pStyle w:val="Heading2"/>
        <w:jc w:val="left"/>
      </w:pPr>
      <w:r>
        <w:t>8.2  Pistes d'amélioration</w:t>
      </w:r>
    </w:p>
    <w:p>
      <w:pPr>
        <w:spacing w:before="0" w:after="40"/>
        <w:jc w:val="both"/>
      </w:pPr>
      <w:r>
        <w:rPr>
          <w:b/>
          <w:i w:val="0"/>
          <w:sz w:val="22"/>
        </w:rPr>
        <w:t>Architecture</w:t>
      </w:r>
    </w:p>
    <w:p>
      <w:pPr>
        <w:pStyle w:val="ListBullet"/>
        <w:spacing w:after="40"/>
      </w:pPr>
      <w:r>
        <w:rPr>
          <w:sz w:val="22"/>
        </w:rPr>
        <w:t>DeepLabV3+ avec backbone ResNet-101 : +5–8 pts mIoU attendus, au prix d'une inférence plus lente (~200 ms CPU).</w:t>
      </w:r>
    </w:p>
    <w:p>
      <w:pPr>
        <w:pStyle w:val="ListBullet"/>
        <w:spacing w:after="40"/>
      </w:pPr>
      <w:r>
        <w:rPr>
          <w:sz w:val="22"/>
        </w:rPr>
        <w:t>SegFormer-B0 (version légère) : architecture transformer compacte atteignant ~76 % mIoU avec seulement 3,7 M de paramètres.</w:t>
      </w:r>
    </w:p>
    <w:p>
      <w:pPr>
        <w:pStyle w:val="ListBullet"/>
        <w:spacing w:after="40"/>
      </w:pPr>
      <w:r>
        <w:rPr>
          <w:sz w:val="22"/>
        </w:rPr>
        <w:t>Architecture knowledge distillation : entraîner un modèle léger à partir des prédictions d'un modèle lourd pour conserver la performance avec un modèle embarqué.</w:t>
      </w:r>
    </w:p>
    <w:p>
      <w:pPr>
        <w:spacing w:before="0" w:after="40"/>
        <w:jc w:val="both"/>
      </w:pPr>
      <w:r>
        <w:rPr>
          <w:b/>
          <w:i w:val="0"/>
          <w:sz w:val="22"/>
        </w:rPr>
        <w:t>Données et entraînement</w:t>
      </w:r>
    </w:p>
    <w:p>
      <w:pPr>
        <w:pStyle w:val="ListBullet"/>
        <w:spacing w:after="40"/>
      </w:pPr>
      <w:r>
        <w:rPr>
          <w:sz w:val="22"/>
        </w:rPr>
        <w:t>Résolution d'entraînement : passer à 256×512 ou 512×1024 apporterait +3–5 pts mIoU grâce à la préservation des détails fins, au prix d'un temps d'entraînement 4× à 16× plus long (nécessite un GPU).</w:t>
      </w:r>
    </w:p>
    <w:p>
      <w:pPr>
        <w:pStyle w:val="ListBullet"/>
        <w:spacing w:after="40"/>
      </w:pPr>
      <w:r>
        <w:rPr>
          <w:sz w:val="22"/>
        </w:rPr>
        <w:t>Augmentation forte : color jitter agressif, elastic transforms, GridDistortion, RandomFog, RandomRain pour simuler des conditions météorologiques adverses.</w:t>
      </w:r>
    </w:p>
    <w:p>
      <w:pPr>
        <w:pStyle w:val="ListBullet"/>
        <w:spacing w:after="40"/>
      </w:pPr>
      <w:r>
        <w:rPr>
          <w:sz w:val="22"/>
        </w:rPr>
        <w:t>Focal Loss : remplacer la CCE pondérée par une Focal Loss (γ=2) pour concentrer l'apprentissage sur les pixels difficiles, particulièrement efficace sur les petits objets (object, human).</w:t>
      </w:r>
    </w:p>
    <w:p>
      <w:pPr>
        <w:pStyle w:val="ListBullet"/>
        <w:spacing w:after="40"/>
      </w:pPr>
      <w:r>
        <w:rPr>
          <w:sz w:val="22"/>
        </w:rPr>
        <w:t>MixUp / CutMix : techniques d'interpolation entre exemples pour améliorer la robustesse et la calibration du modèle.</w:t>
      </w:r>
    </w:p>
    <w:p>
      <w:pPr>
        <w:spacing w:before="0" w:after="40"/>
        <w:jc w:val="both"/>
      </w:pPr>
      <w:r>
        <w:rPr>
          <w:b/>
          <w:i w:val="0"/>
          <w:sz w:val="22"/>
        </w:rPr>
        <w:t>Optimisation embarquée</w:t>
      </w:r>
    </w:p>
    <w:p>
      <w:pPr>
        <w:pStyle w:val="ListBullet"/>
        <w:spacing w:after="40"/>
      </w:pPr>
      <w:r>
        <w:rPr>
          <w:sz w:val="22"/>
        </w:rPr>
        <w:t>Quantification INT8 (TensorFlow Lite) : réduction de la taille du modèle de 4× et accélération de l'inférence de 2–3× avec une perte minimale de mIoU (&lt;1 %).</w:t>
      </w:r>
    </w:p>
    <w:p>
      <w:pPr>
        <w:pStyle w:val="ListBullet"/>
        <w:spacing w:after="40"/>
      </w:pPr>
      <w:r>
        <w:rPr>
          <w:sz w:val="22"/>
        </w:rPr>
        <w:t>Pruning structuré : suppression des filtres redondants pour réduire les calculs sans modifier l'architecture.</w:t>
      </w:r>
    </w:p>
    <w:p>
      <w:pPr>
        <w:pStyle w:val="ListBullet"/>
        <w:spacing w:after="40"/>
      </w:pPr>
      <w:r>
        <w:rPr>
          <w:sz w:val="22"/>
        </w:rPr>
        <w:t>TensorRT (NVIDIA) : optimisation du graphe pour GPU embarqué (Jetson), permettant une inférence &lt; 10 ms.</w:t>
      </w:r>
    </w:p>
    <w:p>
      <w:pPr>
        <w:pStyle w:val="Heading2"/>
        <w:jc w:val="left"/>
      </w:pPr>
      <w:r>
        <w:t>8.3  Mot de fin</w:t>
      </w:r>
    </w:p>
    <w:p>
      <w:pPr>
        <w:spacing w:before="0" w:after="120"/>
        <w:jc w:val="both"/>
      </w:pPr>
      <w:r>
        <w:rPr>
          <w:b w:val="0"/>
          <w:i w:val="0"/>
          <w:sz w:val="22"/>
        </w:rPr>
        <w:t>L'approche adoptée — U-Net avec backbone MobileNetV2 pré-entraîné, loss combinée CCE+Dice, augmentation et oversampling — constitue une base solide et industrialisable. Le pipeline est conçu pour être facilement étendu : changement de backbone, ajout d'augmentations ou migration vers une architecture plus performante ne nécessitent que des modifications mineures du code. Le modèle répond aux exigences fonctionnelles du système de décision (API simple, format PNG en sortie) et aux contraintes de performance du système embarqué.</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