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458F" w14:textId="11A52038" w:rsidR="00CD44CA" w:rsidRDefault="004B61C4" w:rsidP="00871BCF">
      <w:pPr>
        <w:spacing w:after="40"/>
        <w:rPr>
          <w:b/>
          <w:sz w:val="42"/>
        </w:rPr>
      </w:pPr>
      <w:r>
        <w:rPr>
          <w:b/>
          <w:sz w:val="42"/>
        </w:rPr>
        <w:t>Manufacturing Blend Adjustment Analysis</w:t>
      </w:r>
    </w:p>
    <w:tbl>
      <w:tblPr>
        <w:tblW w:w="0" w:type="auto"/>
        <w:tblLook w:val="04A0" w:firstRow="1" w:lastRow="0" w:firstColumn="1" w:lastColumn="0" w:noHBand="0" w:noVBand="1"/>
      </w:tblPr>
      <w:tblGrid>
        <w:gridCol w:w="10080"/>
      </w:tblGrid>
      <w:tr w:rsidR="004F2F77" w14:paraId="24BF6027" w14:textId="77777777" w:rsidTr="00FE35C2">
        <w:tc>
          <w:tcPr>
            <w:tcW w:w="10080" w:type="dxa"/>
            <w:shd w:val="clear" w:color="auto" w:fill="D9E7F7"/>
            <w:tcMar>
              <w:top w:w="70" w:type="dxa"/>
              <w:left w:w="90" w:type="dxa"/>
              <w:bottom w:w="70" w:type="dxa"/>
              <w:right w:w="90" w:type="dxa"/>
            </w:tcMar>
          </w:tcPr>
          <w:p w14:paraId="404EA93D" w14:textId="4BD70236" w:rsidR="004F2F77" w:rsidRPr="00871BCF" w:rsidRDefault="004F2F77" w:rsidP="00FE35C2">
            <w:pPr>
              <w:spacing w:after="0"/>
              <w:rPr>
                <w:b/>
                <w:color w:val="1F4E79"/>
                <w:sz w:val="27"/>
              </w:rPr>
            </w:pPr>
            <w:r>
              <w:rPr>
                <w:b/>
                <w:color w:val="1F4E79"/>
                <w:sz w:val="27"/>
              </w:rPr>
              <w:t>Context/Objective</w:t>
            </w:r>
          </w:p>
        </w:tc>
      </w:tr>
    </w:tbl>
    <w:p w14:paraId="3C331A7C" w14:textId="58971C21" w:rsidR="004F2F77" w:rsidRPr="004F2F77" w:rsidRDefault="004F2F77" w:rsidP="004F2F77">
      <w:pPr>
        <w:pStyle w:val="NormalWeb"/>
      </w:pPr>
      <w:r w:rsidRPr="004F2F77">
        <w:t>Adjustments are modifications made to a blend to bring it within specification. Because they add manufacturing time and may require extra material outside the original schedule, the purpose of this review is to identify where adjustment burden is concentrated and where time-saving improvements should be prioritized.</w:t>
      </w:r>
    </w:p>
    <w:tbl>
      <w:tblPr>
        <w:tblW w:w="0" w:type="auto"/>
        <w:tblLook w:val="04A0" w:firstRow="1" w:lastRow="0" w:firstColumn="1" w:lastColumn="0" w:noHBand="0" w:noVBand="1"/>
      </w:tblPr>
      <w:tblGrid>
        <w:gridCol w:w="10080"/>
      </w:tblGrid>
      <w:tr w:rsidR="00CD44CA" w14:paraId="38E1D4E4" w14:textId="77777777">
        <w:tc>
          <w:tcPr>
            <w:tcW w:w="10080" w:type="dxa"/>
            <w:shd w:val="clear" w:color="auto" w:fill="D9E7F7"/>
            <w:tcMar>
              <w:top w:w="70" w:type="dxa"/>
              <w:left w:w="90" w:type="dxa"/>
              <w:bottom w:w="70" w:type="dxa"/>
              <w:right w:w="90" w:type="dxa"/>
            </w:tcMar>
          </w:tcPr>
          <w:p w14:paraId="79833053" w14:textId="2B68FFBC" w:rsidR="00871BCF" w:rsidRPr="00871BCF" w:rsidRDefault="00871BCF">
            <w:pPr>
              <w:spacing w:after="0"/>
              <w:rPr>
                <w:b/>
                <w:color w:val="1F4E79"/>
                <w:sz w:val="27"/>
              </w:rPr>
            </w:pPr>
            <w:r>
              <w:rPr>
                <w:b/>
                <w:color w:val="1F4E79"/>
                <w:sz w:val="27"/>
              </w:rPr>
              <w:t>Executive Takeaway</w:t>
            </w:r>
          </w:p>
        </w:tc>
      </w:tr>
    </w:tbl>
    <w:p w14:paraId="70CA2B14" w14:textId="77777777" w:rsidR="004C52B9" w:rsidRDefault="004C52B9" w:rsidP="004C52B9">
      <w:pPr>
        <w:pStyle w:val="NormalWeb"/>
      </w:pPr>
      <w:r>
        <w:t>Adjustment burden is concentrated in a relatively small subset of product groups, tanks, and operating contexts. The analysis indicates that the highest total burden and the highest adjustment-rate burden are not always the same, meaning both total workload and proportional instability should be considered when prioritizing review. In some cases, elevated burden appears to reflect structural operating constraints rather than simple underperformance, making operational context important when interpreting the results.</w:t>
      </w:r>
    </w:p>
    <w:tbl>
      <w:tblPr>
        <w:tblW w:w="0" w:type="auto"/>
        <w:tblLook w:val="04A0" w:firstRow="1" w:lastRow="0" w:firstColumn="1" w:lastColumn="0" w:noHBand="0" w:noVBand="1"/>
      </w:tblPr>
      <w:tblGrid>
        <w:gridCol w:w="10080"/>
      </w:tblGrid>
      <w:tr w:rsidR="00CD44CA" w14:paraId="7CCF9A22" w14:textId="77777777">
        <w:tc>
          <w:tcPr>
            <w:tcW w:w="10080" w:type="dxa"/>
            <w:shd w:val="clear" w:color="auto" w:fill="D9E7F7"/>
            <w:tcMar>
              <w:top w:w="70" w:type="dxa"/>
              <w:left w:w="90" w:type="dxa"/>
              <w:bottom w:w="70" w:type="dxa"/>
              <w:right w:w="90" w:type="dxa"/>
            </w:tcMar>
          </w:tcPr>
          <w:p w14:paraId="04A659CC" w14:textId="1B3A9292" w:rsidR="00CD44CA" w:rsidRDefault="00871BCF">
            <w:pPr>
              <w:spacing w:after="0"/>
            </w:pPr>
            <w:r>
              <w:rPr>
                <w:b/>
                <w:color w:val="1F4E79"/>
                <w:sz w:val="27"/>
              </w:rPr>
              <w:t>Key Findings</w:t>
            </w:r>
          </w:p>
        </w:tc>
      </w:tr>
    </w:tbl>
    <w:p w14:paraId="425DC6DF" w14:textId="166488C3" w:rsidR="00F03C82" w:rsidRDefault="00F03C82" w:rsidP="00F03C82">
      <w:pPr>
        <w:pStyle w:val="ListParagraph"/>
        <w:numPr>
          <w:ilvl w:val="0"/>
          <w:numId w:val="10"/>
        </w:numPr>
        <w:spacing w:after="20"/>
      </w:pPr>
      <w:r>
        <w:t xml:space="preserve">Adjustment burden is heavily concentrated by product group, with </w:t>
      </w:r>
      <w:r>
        <w:rPr>
          <w:b/>
        </w:rPr>
        <w:t xml:space="preserve">Soaps &amp; Detergents </w:t>
      </w:r>
      <w:r>
        <w:t xml:space="preserve">and </w:t>
      </w:r>
      <w:r>
        <w:rPr>
          <w:b/>
        </w:rPr>
        <w:t>Dressings</w:t>
      </w:r>
      <w:r>
        <w:t xml:space="preserve"> account</w:t>
      </w:r>
      <w:r w:rsidR="00C02DC8">
        <w:t>ing</w:t>
      </w:r>
      <w:r>
        <w:t xml:space="preserve"> for the majority of all recorded adjustments.</w:t>
      </w:r>
    </w:p>
    <w:p w14:paraId="317FE0C5" w14:textId="1A78AB1C" w:rsidR="00F03C82" w:rsidRDefault="00F03C82" w:rsidP="00F03C82">
      <w:pPr>
        <w:pStyle w:val="ListParagraph"/>
        <w:numPr>
          <w:ilvl w:val="0"/>
          <w:numId w:val="10"/>
        </w:numPr>
        <w:spacing w:after="20"/>
      </w:pPr>
      <w:r>
        <w:t>The highest total adjustment burden and the highest adjustment-rate burden do not always point to the same tanks, indicating that some t</w:t>
      </w:r>
      <w:r w:rsidR="00C02DC8">
        <w:t>anks create more total work while</w:t>
      </w:r>
      <w:r>
        <w:t xml:space="preserve"> others are less reliable proportionally.</w:t>
      </w:r>
    </w:p>
    <w:p w14:paraId="421BB582" w14:textId="14066B66" w:rsidR="00F03C82" w:rsidRDefault="00F03C82" w:rsidP="00F03C82">
      <w:pPr>
        <w:pStyle w:val="ListParagraph"/>
        <w:numPr>
          <w:ilvl w:val="0"/>
          <w:numId w:val="10"/>
        </w:numPr>
        <w:spacing w:after="20"/>
      </w:pPr>
      <w:r>
        <w:t>A small number of tank / tank-size combinations account for a disproportionate share of total adjustments, suggesting that the burden is concentrated in a limited set of operating contexts.</w:t>
      </w:r>
    </w:p>
    <w:p w14:paraId="0308FB9F" w14:textId="15AD30F2" w:rsidR="00F03C82" w:rsidRDefault="00F03C82" w:rsidP="004F2F77">
      <w:pPr>
        <w:pStyle w:val="ListParagraph"/>
        <w:numPr>
          <w:ilvl w:val="0"/>
          <w:numId w:val="10"/>
        </w:numPr>
        <w:spacing w:after="20"/>
      </w:pPr>
      <w:r>
        <w:t>Trend analysis shows that the adjustment activity is variable over time rather than steadily improving, which suggests that instability exists throughout the manufacturing process.</w:t>
      </w:r>
    </w:p>
    <w:p w14:paraId="2860B4B5" w14:textId="297A5C84" w:rsidR="00F03C82" w:rsidRDefault="00816B18" w:rsidP="00816B18">
      <w:pPr>
        <w:pStyle w:val="ListParagraph"/>
        <w:spacing w:after="20"/>
        <w:ind w:left="360"/>
      </w:pPr>
      <w:r w:rsidRPr="00816B18">
        <w:drawing>
          <wp:inline distT="0" distB="0" distL="0" distR="0" wp14:anchorId="563BFBBC" wp14:editId="0FCAD17D">
            <wp:extent cx="6400800" cy="2826385"/>
            <wp:effectExtent l="0" t="0" r="0" b="0"/>
            <wp:docPr id="54942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22657" name=""/>
                    <pic:cNvPicPr/>
                  </pic:nvPicPr>
                  <pic:blipFill>
                    <a:blip r:embed="rId6"/>
                    <a:stretch>
                      <a:fillRect/>
                    </a:stretch>
                  </pic:blipFill>
                  <pic:spPr>
                    <a:xfrm>
                      <a:off x="0" y="0"/>
                      <a:ext cx="6400800" cy="2826385"/>
                    </a:xfrm>
                    <a:prstGeom prst="rect">
                      <a:avLst/>
                    </a:prstGeom>
                  </pic:spPr>
                </pic:pic>
              </a:graphicData>
            </a:graphic>
          </wp:inline>
        </w:drawing>
      </w:r>
    </w:p>
    <w:p w14:paraId="08F6417B" w14:textId="77777777" w:rsidR="00816B18" w:rsidRDefault="00816B18" w:rsidP="004C52B9">
      <w:pPr>
        <w:pStyle w:val="ListParagraph"/>
        <w:spacing w:after="20"/>
        <w:jc w:val="center"/>
      </w:pPr>
    </w:p>
    <w:p w14:paraId="59934714" w14:textId="77777777" w:rsidR="00816B18" w:rsidRDefault="00816B18" w:rsidP="004C52B9">
      <w:pPr>
        <w:pStyle w:val="ListParagraph"/>
        <w:spacing w:after="20"/>
        <w:jc w:val="center"/>
      </w:pPr>
    </w:p>
    <w:p w14:paraId="0C4EE48C" w14:textId="77777777" w:rsidR="00F03C82" w:rsidRDefault="00F03C82" w:rsidP="00F03C82">
      <w:pPr>
        <w:pStyle w:val="ListParagraph"/>
        <w:spacing w:after="20"/>
        <w:jc w:val="center"/>
      </w:pPr>
    </w:p>
    <w:tbl>
      <w:tblPr>
        <w:tblW w:w="0" w:type="auto"/>
        <w:tblLook w:val="04A0" w:firstRow="1" w:lastRow="0" w:firstColumn="1" w:lastColumn="0" w:noHBand="0" w:noVBand="1"/>
      </w:tblPr>
      <w:tblGrid>
        <w:gridCol w:w="10080"/>
      </w:tblGrid>
      <w:tr w:rsidR="00CD44CA" w14:paraId="0716D4D0" w14:textId="77777777">
        <w:tc>
          <w:tcPr>
            <w:tcW w:w="10080" w:type="dxa"/>
            <w:shd w:val="clear" w:color="auto" w:fill="D9E7F7"/>
            <w:tcMar>
              <w:top w:w="70" w:type="dxa"/>
              <w:left w:w="90" w:type="dxa"/>
              <w:bottom w:w="70" w:type="dxa"/>
              <w:right w:w="90" w:type="dxa"/>
            </w:tcMar>
          </w:tcPr>
          <w:p w14:paraId="6D022A1F" w14:textId="6C69EB88" w:rsidR="00CD44CA" w:rsidRDefault="00871BCF">
            <w:pPr>
              <w:spacing w:after="0"/>
            </w:pPr>
            <w:r>
              <w:rPr>
                <w:b/>
                <w:color w:val="1F4E79"/>
                <w:sz w:val="27"/>
              </w:rPr>
              <w:t>Priority Review Areas</w:t>
            </w:r>
          </w:p>
        </w:tc>
      </w:tr>
    </w:tbl>
    <w:p w14:paraId="730E7569" w14:textId="77777777" w:rsidR="004C52B9" w:rsidRDefault="004C52B9" w:rsidP="004C52B9">
      <w:pPr>
        <w:pStyle w:val="NormalWeb"/>
      </w:pPr>
      <w:r>
        <w:rPr>
          <w:rStyle w:val="Strong"/>
        </w:rPr>
        <w:t>Product Groups</w:t>
      </w:r>
      <w:r>
        <w:br/>
        <w:t xml:space="preserve">Prioritize review of the highest-burden product groups, especially </w:t>
      </w:r>
      <w:r>
        <w:rPr>
          <w:rStyle w:val="Strong"/>
        </w:rPr>
        <w:t>Soaps &amp; Detergents</w:t>
      </w:r>
      <w:r>
        <w:t xml:space="preserve"> and </w:t>
      </w:r>
      <w:r>
        <w:rPr>
          <w:rStyle w:val="Strong"/>
        </w:rPr>
        <w:t>Dressings</w:t>
      </w:r>
      <w:r>
        <w:t>, as these categories account for the largest share of all recorded adjustments and represent the biggest sources of recurring process burden.</w:t>
      </w:r>
    </w:p>
    <w:p w14:paraId="0CBB4179" w14:textId="77777777" w:rsidR="004C52B9" w:rsidRDefault="004C52B9" w:rsidP="004C52B9">
      <w:pPr>
        <w:pStyle w:val="NormalWeb"/>
      </w:pPr>
      <w:r>
        <w:rPr>
          <w:rStyle w:val="Strong"/>
        </w:rPr>
        <w:t>Tanks / Tank-Size Contexts</w:t>
      </w:r>
      <w:r>
        <w:br/>
        <w:t>Prioritize review of the tank / tank-size combinations contributing the largest share of total adjustments. These combinations represent the most concentrated sources of operational burden and should be reviewed before lower-impact contexts.</w:t>
      </w:r>
      <w:r>
        <w:br/>
        <w:t xml:space="preserve">Tank-level results should also be interpreted with operational context. </w:t>
      </w:r>
      <w:r>
        <w:rPr>
          <w:rStyle w:val="Strong"/>
        </w:rPr>
        <w:t>Tank 1</w:t>
      </w:r>
      <w:r>
        <w:t xml:space="preserve"> carries the highest total adjustment burden, but this appears to be influenced in part by its use of an air motor for solvent-safe manufacturing. Because that setup is operationally necessary for certain blends, Tank 1 should not be treated as directly comparable to a general-use tank.</w:t>
      </w:r>
    </w:p>
    <w:p w14:paraId="06CB6A0B" w14:textId="77777777" w:rsidR="004C52B9" w:rsidRDefault="004C52B9" w:rsidP="004C52B9">
      <w:pPr>
        <w:pStyle w:val="NormalWeb"/>
      </w:pPr>
      <w:r>
        <w:rPr>
          <w:rStyle w:val="Strong"/>
        </w:rPr>
        <w:t>Areas</w:t>
      </w:r>
      <w:r>
        <w:br/>
        <w:t xml:space="preserve">Area-level results should be used to identify where adjustment burden and instability are clustering operationally. The </w:t>
      </w:r>
      <w:r>
        <w:rPr>
          <w:rStyle w:val="Strong"/>
        </w:rPr>
        <w:t>Mezzanine</w:t>
      </w:r>
      <w:r>
        <w:t xml:space="preserve"> stands out as the primary burden area, while the </w:t>
      </w:r>
      <w:r>
        <w:rPr>
          <w:rStyle w:val="Strong"/>
        </w:rPr>
        <w:t>Skirt</w:t>
      </w:r>
      <w:r>
        <w:t xml:space="preserve"> warrants targeted review because its relatively small maximum blend size limits throughput while still consuming meaningful manufacturing and lab time.</w:t>
      </w:r>
    </w:p>
    <w:p w14:paraId="7816AF59" w14:textId="2119B417" w:rsidR="004C52B9" w:rsidRDefault="004C52B9" w:rsidP="004C52B9">
      <w:pPr>
        <w:pStyle w:val="NormalWeb"/>
        <w:jc w:val="center"/>
      </w:pPr>
      <w:r w:rsidRPr="004C52B9">
        <w:rPr>
          <w:noProof/>
        </w:rPr>
        <w:drawing>
          <wp:inline distT="0" distB="0" distL="0" distR="0" wp14:anchorId="721EA567" wp14:editId="1CBC5276">
            <wp:extent cx="6115904" cy="183858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15904" cy="1838582"/>
                    </a:xfrm>
                    <a:prstGeom prst="rect">
                      <a:avLst/>
                    </a:prstGeom>
                  </pic:spPr>
                </pic:pic>
              </a:graphicData>
            </a:graphic>
          </wp:inline>
        </w:drawing>
      </w:r>
    </w:p>
    <w:p w14:paraId="61085223" w14:textId="77777777" w:rsidR="00C02DC8" w:rsidRDefault="00C02DC8" w:rsidP="00C02DC8">
      <w:pPr>
        <w:pStyle w:val="NormalWeb"/>
        <w:jc w:val="center"/>
      </w:pPr>
      <w:r>
        <w:t>The top 5 tank / tank-size combinations account for a disproportionate share of total adjustments, making them the most immediate candidates for targeted review.</w:t>
      </w:r>
    </w:p>
    <w:p w14:paraId="4FD52D61" w14:textId="174401A7" w:rsidR="00C02DC8" w:rsidRDefault="00C02DC8">
      <w:pPr>
        <w:rPr>
          <w:rFonts w:ascii="Times New Roman" w:eastAsia="Times New Roman" w:hAnsi="Times New Roman" w:cs="Times New Roman"/>
          <w:sz w:val="24"/>
          <w:szCs w:val="24"/>
        </w:rPr>
      </w:pPr>
      <w:r>
        <w:br w:type="page"/>
      </w:r>
    </w:p>
    <w:p w14:paraId="27001D97" w14:textId="77777777" w:rsidR="004C52B9" w:rsidRDefault="004C52B9" w:rsidP="00C02DC8">
      <w:pPr>
        <w:pStyle w:val="NormalWeb"/>
      </w:pPr>
    </w:p>
    <w:tbl>
      <w:tblPr>
        <w:tblW w:w="0" w:type="auto"/>
        <w:tblLook w:val="04A0" w:firstRow="1" w:lastRow="0" w:firstColumn="1" w:lastColumn="0" w:noHBand="0" w:noVBand="1"/>
      </w:tblPr>
      <w:tblGrid>
        <w:gridCol w:w="10080"/>
      </w:tblGrid>
      <w:tr w:rsidR="004C52B9" w14:paraId="4DE23C65" w14:textId="77777777" w:rsidTr="0047402D">
        <w:tc>
          <w:tcPr>
            <w:tcW w:w="10080" w:type="dxa"/>
            <w:shd w:val="clear" w:color="auto" w:fill="D9E7F7"/>
            <w:tcMar>
              <w:top w:w="70" w:type="dxa"/>
              <w:left w:w="90" w:type="dxa"/>
              <w:bottom w:w="70" w:type="dxa"/>
              <w:right w:w="90" w:type="dxa"/>
            </w:tcMar>
          </w:tcPr>
          <w:p w14:paraId="3CF63F2B" w14:textId="1B5C7ACA" w:rsidR="004C52B9" w:rsidRDefault="004C52B9" w:rsidP="0047402D">
            <w:pPr>
              <w:spacing w:after="0"/>
            </w:pPr>
            <w:r>
              <w:rPr>
                <w:b/>
                <w:color w:val="1F4E79"/>
                <w:sz w:val="27"/>
              </w:rPr>
              <w:t>Tank Burden Summary</w:t>
            </w:r>
          </w:p>
        </w:tc>
      </w:tr>
    </w:tbl>
    <w:p w14:paraId="4E3E88EA" w14:textId="20652FFA" w:rsidR="004C52B9" w:rsidRDefault="004C52B9" w:rsidP="004C52B9">
      <w:pPr>
        <w:pStyle w:val="NormalWeb"/>
      </w:pPr>
      <w:r>
        <w:t>Tank-level results show that the highest total adjustment burden and the highest adjustment-rate burden do not always point to the same operating context. Some tanks generate the most total adjustments because they support a larger share of production activity, while others stand out because a larger proportion of their batches require intervention. This distinction is important when prioritizing review, since total burden and proportional instability indicate different types of operational concern.</w:t>
      </w:r>
    </w:p>
    <w:p w14:paraId="1DB8F4C6" w14:textId="062113BF" w:rsidR="004C52B9" w:rsidRDefault="00816B18" w:rsidP="00816B18">
      <w:pPr>
        <w:pStyle w:val="NormalWeb"/>
        <w:jc w:val="center"/>
      </w:pPr>
      <w:r w:rsidRPr="00816B18">
        <w:rPr>
          <w:noProof/>
        </w:rPr>
        <w:drawing>
          <wp:inline distT="0" distB="0" distL="0" distR="0" wp14:anchorId="7660DDE0" wp14:editId="386157E5">
            <wp:extent cx="6400800" cy="3545840"/>
            <wp:effectExtent l="0" t="0" r="0" b="0"/>
            <wp:docPr id="20032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8192" name=""/>
                    <pic:cNvPicPr/>
                  </pic:nvPicPr>
                  <pic:blipFill>
                    <a:blip r:embed="rId8"/>
                    <a:stretch>
                      <a:fillRect/>
                    </a:stretch>
                  </pic:blipFill>
                  <pic:spPr>
                    <a:xfrm>
                      <a:off x="0" y="0"/>
                      <a:ext cx="6400800" cy="3545840"/>
                    </a:xfrm>
                    <a:prstGeom prst="rect">
                      <a:avLst/>
                    </a:prstGeom>
                  </pic:spPr>
                </pic:pic>
              </a:graphicData>
            </a:graphic>
          </wp:inline>
        </w:drawing>
      </w:r>
    </w:p>
    <w:p w14:paraId="5B931E01" w14:textId="77777777" w:rsidR="004C52B9" w:rsidRDefault="004C52B9">
      <w:pPr>
        <w:spacing w:after="80"/>
      </w:pPr>
    </w:p>
    <w:p w14:paraId="2889EFE3" w14:textId="77777777" w:rsidR="00C8040F" w:rsidRDefault="00C8040F">
      <w:pPr>
        <w:spacing w:after="80"/>
      </w:pPr>
    </w:p>
    <w:p w14:paraId="68602B33" w14:textId="77777777" w:rsidR="00C8040F" w:rsidRDefault="00C8040F">
      <w:pPr>
        <w:spacing w:after="80"/>
      </w:pPr>
    </w:p>
    <w:p w14:paraId="06D755ED" w14:textId="77777777" w:rsidR="00C8040F" w:rsidRDefault="00C8040F">
      <w:pPr>
        <w:spacing w:after="80"/>
      </w:pPr>
    </w:p>
    <w:p w14:paraId="6598689C" w14:textId="77777777" w:rsidR="00C8040F" w:rsidRDefault="00C8040F">
      <w:pPr>
        <w:spacing w:after="80"/>
      </w:pPr>
    </w:p>
    <w:p w14:paraId="3C708991" w14:textId="77777777" w:rsidR="00C8040F" w:rsidRDefault="00C8040F">
      <w:pPr>
        <w:spacing w:after="80"/>
      </w:pPr>
    </w:p>
    <w:p w14:paraId="5B1D181F" w14:textId="77777777" w:rsidR="00C8040F" w:rsidRDefault="00C8040F">
      <w:pPr>
        <w:spacing w:after="80"/>
      </w:pPr>
    </w:p>
    <w:p w14:paraId="778A9E75" w14:textId="77777777" w:rsidR="00C8040F" w:rsidRDefault="00C8040F">
      <w:pPr>
        <w:spacing w:after="80"/>
      </w:pPr>
    </w:p>
    <w:p w14:paraId="0FF73E02" w14:textId="77777777" w:rsidR="00C8040F" w:rsidRDefault="00C8040F">
      <w:pPr>
        <w:spacing w:after="80"/>
      </w:pPr>
    </w:p>
    <w:p w14:paraId="2FE733BF" w14:textId="77777777" w:rsidR="00C8040F" w:rsidRDefault="00C8040F">
      <w:pPr>
        <w:spacing w:after="80"/>
      </w:pPr>
    </w:p>
    <w:p w14:paraId="79143C37" w14:textId="77777777" w:rsidR="00C8040F" w:rsidRDefault="00C8040F">
      <w:pPr>
        <w:spacing w:after="80"/>
      </w:pPr>
    </w:p>
    <w:p w14:paraId="5F0BD4C9" w14:textId="77777777" w:rsidR="00C8040F" w:rsidRDefault="00C8040F">
      <w:pPr>
        <w:spacing w:after="80"/>
      </w:pPr>
    </w:p>
    <w:p w14:paraId="66864621" w14:textId="77777777" w:rsidR="00C8040F" w:rsidRDefault="00C8040F">
      <w:pPr>
        <w:spacing w:after="80"/>
      </w:pPr>
    </w:p>
    <w:tbl>
      <w:tblPr>
        <w:tblW w:w="0" w:type="auto"/>
        <w:tblLook w:val="04A0" w:firstRow="1" w:lastRow="0" w:firstColumn="1" w:lastColumn="0" w:noHBand="0" w:noVBand="1"/>
      </w:tblPr>
      <w:tblGrid>
        <w:gridCol w:w="10080"/>
      </w:tblGrid>
      <w:tr w:rsidR="00CD44CA" w14:paraId="49CE4847" w14:textId="77777777">
        <w:tc>
          <w:tcPr>
            <w:tcW w:w="10080" w:type="dxa"/>
            <w:shd w:val="clear" w:color="auto" w:fill="D9E7F7"/>
            <w:tcMar>
              <w:top w:w="70" w:type="dxa"/>
              <w:left w:w="90" w:type="dxa"/>
              <w:bottom w:w="70" w:type="dxa"/>
              <w:right w:w="90" w:type="dxa"/>
            </w:tcMar>
          </w:tcPr>
          <w:p w14:paraId="46050644" w14:textId="2D4DD684" w:rsidR="00CD44CA" w:rsidRDefault="00871BCF">
            <w:pPr>
              <w:spacing w:after="0"/>
            </w:pPr>
            <w:r>
              <w:rPr>
                <w:b/>
                <w:color w:val="1F4E79"/>
                <w:sz w:val="27"/>
              </w:rPr>
              <w:lastRenderedPageBreak/>
              <w:t>Trend Summary</w:t>
            </w:r>
          </w:p>
        </w:tc>
      </w:tr>
    </w:tbl>
    <w:p w14:paraId="475FA21C" w14:textId="14360EEE" w:rsidR="00F03C82" w:rsidRDefault="00F03C82" w:rsidP="00F03C82">
      <w:pPr>
        <w:pStyle w:val="NormalWeb"/>
      </w:pPr>
      <w:r>
        <w:t xml:space="preserve">Time-based analysis shows that adjustment burden has fluctuated over the observed period rather than moving in a consistently downward direction. Rolling averages indicate periods of improvement followed by renewed increases, </w:t>
      </w:r>
      <w:r w:rsidR="00301262">
        <w:t>suggesting</w:t>
      </w:r>
      <w:r>
        <w:t xml:space="preserve"> that performance remains variable and should continue to be monitored.</w:t>
      </w:r>
    </w:p>
    <w:p w14:paraId="4029440B" w14:textId="7482C1F6" w:rsidR="00CD44CA" w:rsidRDefault="00F03C82">
      <w:pPr>
        <w:spacing w:after="20"/>
        <w:ind w:left="360" w:hanging="259"/>
      </w:pPr>
      <w:r w:rsidRPr="00F03C82">
        <w:rPr>
          <w:noProof/>
        </w:rPr>
        <w:drawing>
          <wp:inline distT="0" distB="0" distL="0" distR="0" wp14:anchorId="5757E79D" wp14:editId="19DC65F2">
            <wp:extent cx="6400800" cy="3627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627120"/>
                    </a:xfrm>
                    <a:prstGeom prst="rect">
                      <a:avLst/>
                    </a:prstGeom>
                  </pic:spPr>
                </pic:pic>
              </a:graphicData>
            </a:graphic>
          </wp:inline>
        </w:drawing>
      </w:r>
    </w:p>
    <w:tbl>
      <w:tblPr>
        <w:tblW w:w="0" w:type="auto"/>
        <w:tblLook w:val="04A0" w:firstRow="1" w:lastRow="0" w:firstColumn="1" w:lastColumn="0" w:noHBand="0" w:noVBand="1"/>
      </w:tblPr>
      <w:tblGrid>
        <w:gridCol w:w="10080"/>
      </w:tblGrid>
      <w:tr w:rsidR="00CD44CA" w14:paraId="26A98FA9" w14:textId="77777777">
        <w:tc>
          <w:tcPr>
            <w:tcW w:w="10080" w:type="dxa"/>
            <w:shd w:val="clear" w:color="auto" w:fill="D9E7F7"/>
            <w:tcMar>
              <w:top w:w="70" w:type="dxa"/>
              <w:left w:w="90" w:type="dxa"/>
              <w:bottom w:w="70" w:type="dxa"/>
              <w:right w:w="90" w:type="dxa"/>
            </w:tcMar>
          </w:tcPr>
          <w:p w14:paraId="0A241E42" w14:textId="1C8ED72A" w:rsidR="00CD44CA" w:rsidRDefault="00871BCF">
            <w:pPr>
              <w:spacing w:after="0"/>
            </w:pPr>
            <w:r>
              <w:rPr>
                <w:b/>
                <w:color w:val="1F4E79"/>
                <w:sz w:val="27"/>
              </w:rPr>
              <w:t>Operational Implication</w:t>
            </w:r>
          </w:p>
        </w:tc>
      </w:tr>
    </w:tbl>
    <w:p w14:paraId="5047B517" w14:textId="5434B0E1" w:rsidR="00CD44CA" w:rsidRDefault="004C52B9" w:rsidP="00F03C82">
      <w:pPr>
        <w:pStyle w:val="NormalWeb"/>
      </w:pPr>
      <w:r>
        <w:t>These results suggest that adjustment burden is concentrated rather than evenly distributed. Broad process review across all operations is less likely to be effective than targeted review focused on the highest-contributing product groups, tank / tank-size contexts, and operating areas. In some cases, elevated burden may reflect structural operating constraints rather than simple underperformance, which makes context important when prioritizing action.</w:t>
      </w:r>
    </w:p>
    <w:tbl>
      <w:tblPr>
        <w:tblW w:w="0" w:type="auto"/>
        <w:tblLook w:val="04A0" w:firstRow="1" w:lastRow="0" w:firstColumn="1" w:lastColumn="0" w:noHBand="0" w:noVBand="1"/>
      </w:tblPr>
      <w:tblGrid>
        <w:gridCol w:w="10080"/>
      </w:tblGrid>
      <w:tr w:rsidR="00CD44CA" w14:paraId="5DE5B7F7" w14:textId="77777777">
        <w:tc>
          <w:tcPr>
            <w:tcW w:w="10080" w:type="dxa"/>
            <w:shd w:val="clear" w:color="auto" w:fill="D9E7F7"/>
            <w:tcMar>
              <w:top w:w="70" w:type="dxa"/>
              <w:left w:w="90" w:type="dxa"/>
              <w:bottom w:w="70" w:type="dxa"/>
              <w:right w:w="90" w:type="dxa"/>
            </w:tcMar>
          </w:tcPr>
          <w:p w14:paraId="69FB046D" w14:textId="66D48261" w:rsidR="00CD44CA" w:rsidRDefault="00871BCF">
            <w:pPr>
              <w:spacing w:after="0"/>
            </w:pPr>
            <w:r>
              <w:rPr>
                <w:b/>
                <w:color w:val="1F4E79"/>
                <w:sz w:val="27"/>
              </w:rPr>
              <w:t>Limitations</w:t>
            </w:r>
          </w:p>
        </w:tc>
      </w:tr>
    </w:tbl>
    <w:p w14:paraId="3B2F8FFA" w14:textId="77777777" w:rsidR="00F03C82" w:rsidRPr="00F03C82" w:rsidRDefault="00F03C82" w:rsidP="00F03C82">
      <w:pPr>
        <w:spacing w:after="0" w:line="240" w:lineRule="auto"/>
        <w:rPr>
          <w:rFonts w:ascii="Times New Roman" w:eastAsia="Times New Roman" w:hAnsi="Times New Roman" w:cs="Times New Roman"/>
          <w:sz w:val="24"/>
          <w:szCs w:val="24"/>
        </w:rPr>
      </w:pPr>
      <w:proofErr w:type="gramStart"/>
      <w:r w:rsidRPr="00F03C82">
        <w:rPr>
          <w:rFonts w:ascii="Times New Roman" w:eastAsia="Times New Roman" w:hAnsi="Symbol" w:cs="Times New Roman"/>
          <w:sz w:val="24"/>
          <w:szCs w:val="24"/>
        </w:rPr>
        <w:t></w:t>
      </w:r>
      <w:r w:rsidRPr="00F03C82">
        <w:rPr>
          <w:rFonts w:ascii="Times New Roman" w:eastAsia="Times New Roman" w:hAnsi="Times New Roman" w:cs="Times New Roman"/>
          <w:sz w:val="24"/>
          <w:szCs w:val="24"/>
        </w:rPr>
        <w:t xml:space="preserve">  Rankings</w:t>
      </w:r>
      <w:proofErr w:type="gramEnd"/>
      <w:r w:rsidRPr="00F03C82">
        <w:rPr>
          <w:rFonts w:ascii="Times New Roman" w:eastAsia="Times New Roman" w:hAnsi="Times New Roman" w:cs="Times New Roman"/>
          <w:sz w:val="24"/>
          <w:szCs w:val="24"/>
        </w:rPr>
        <w:t xml:space="preserve"> identify where burden is concentrated, but do not by themselves determine root cause. </w:t>
      </w:r>
    </w:p>
    <w:p w14:paraId="2AB34B01" w14:textId="38F6DB53" w:rsidR="00F03C82" w:rsidRPr="00F03C82" w:rsidRDefault="00F03C82" w:rsidP="00F03C82">
      <w:pPr>
        <w:spacing w:after="0" w:line="240" w:lineRule="auto"/>
        <w:rPr>
          <w:rFonts w:ascii="Times New Roman" w:eastAsia="Times New Roman" w:hAnsi="Times New Roman" w:cs="Times New Roman"/>
          <w:sz w:val="24"/>
          <w:szCs w:val="24"/>
        </w:rPr>
      </w:pPr>
      <w:proofErr w:type="gramStart"/>
      <w:r w:rsidRPr="00F03C82">
        <w:rPr>
          <w:rFonts w:ascii="Times New Roman" w:eastAsia="Times New Roman" w:hAnsi="Symbol" w:cs="Times New Roman"/>
          <w:sz w:val="24"/>
          <w:szCs w:val="24"/>
        </w:rPr>
        <w:t></w:t>
      </w:r>
      <w:r w:rsidRPr="00F03C82">
        <w:rPr>
          <w:rFonts w:ascii="Times New Roman" w:eastAsia="Times New Roman" w:hAnsi="Times New Roman" w:cs="Times New Roman"/>
          <w:sz w:val="24"/>
          <w:szCs w:val="24"/>
        </w:rPr>
        <w:t xml:space="preserve">  Tank</w:t>
      </w:r>
      <w:proofErr w:type="gramEnd"/>
      <w:r w:rsidRPr="00F03C82">
        <w:rPr>
          <w:rFonts w:ascii="Times New Roman" w:eastAsia="Times New Roman" w:hAnsi="Times New Roman" w:cs="Times New Roman"/>
          <w:sz w:val="24"/>
          <w:szCs w:val="24"/>
        </w:rPr>
        <w:t xml:space="preserve">, area, and product-group performance should still be interpreted alongside operational context and production mix. </w:t>
      </w:r>
      <w:r w:rsidR="00C02DC8" w:rsidRPr="00C02DC8">
        <w:rPr>
          <w:rFonts w:ascii="Times New Roman" w:eastAsia="Times New Roman" w:hAnsi="Times New Roman" w:cs="Times New Roman"/>
          <w:sz w:val="24"/>
          <w:szCs w:val="24"/>
        </w:rPr>
        <w:t>Tanks supporting higher-volume or more adjustment-prone categories may naturally show higher total burden.</w:t>
      </w:r>
    </w:p>
    <w:p w14:paraId="3545585B" w14:textId="44AFEC7B" w:rsidR="00F03C82" w:rsidRDefault="00F03C82" w:rsidP="00F03C82">
      <w:pPr>
        <w:spacing w:after="120"/>
        <w:rPr>
          <w:rFonts w:ascii="Times New Roman" w:eastAsia="Times New Roman" w:hAnsi="Times New Roman" w:cs="Times New Roman"/>
          <w:sz w:val="24"/>
          <w:szCs w:val="24"/>
        </w:rPr>
      </w:pPr>
      <w:proofErr w:type="gramStart"/>
      <w:r w:rsidRPr="00F03C82">
        <w:rPr>
          <w:rFonts w:ascii="Times New Roman" w:eastAsia="Times New Roman" w:hAnsi="Symbol" w:cs="Times New Roman"/>
          <w:sz w:val="24"/>
          <w:szCs w:val="24"/>
        </w:rPr>
        <w:t></w:t>
      </w:r>
      <w:r w:rsidRPr="00F03C82">
        <w:rPr>
          <w:rFonts w:ascii="Times New Roman" w:eastAsia="Times New Roman" w:hAnsi="Times New Roman" w:cs="Times New Roman"/>
          <w:sz w:val="24"/>
          <w:szCs w:val="24"/>
        </w:rPr>
        <w:t xml:space="preserve">  Additional</w:t>
      </w:r>
      <w:proofErr w:type="gramEnd"/>
      <w:r w:rsidRPr="00F03C82">
        <w:rPr>
          <w:rFonts w:ascii="Times New Roman" w:eastAsia="Times New Roman" w:hAnsi="Times New Roman" w:cs="Times New Roman"/>
          <w:sz w:val="24"/>
          <w:szCs w:val="24"/>
        </w:rPr>
        <w:t xml:space="preserve"> review would be needed to distinguish whether burden is driven primarily by equipment, formulation, scheduling, or other process factors.</w:t>
      </w:r>
    </w:p>
    <w:p w14:paraId="35F2F08B" w14:textId="77777777" w:rsidR="004C52B9" w:rsidRDefault="004C52B9" w:rsidP="00F03C82">
      <w:pPr>
        <w:spacing w:after="120"/>
        <w:rPr>
          <w:rFonts w:ascii="Times New Roman" w:eastAsia="Times New Roman" w:hAnsi="Times New Roman" w:cs="Times New Roman"/>
          <w:sz w:val="24"/>
          <w:szCs w:val="24"/>
        </w:rPr>
      </w:pPr>
    </w:p>
    <w:p w14:paraId="4402D8B7" w14:textId="77777777" w:rsidR="004C52B9" w:rsidRDefault="004C52B9" w:rsidP="00F03C82">
      <w:pPr>
        <w:spacing w:after="120"/>
        <w:rPr>
          <w:rFonts w:ascii="Times New Roman" w:eastAsia="Times New Roman" w:hAnsi="Times New Roman" w:cs="Times New Roman"/>
          <w:sz w:val="24"/>
          <w:szCs w:val="24"/>
        </w:rPr>
      </w:pPr>
    </w:p>
    <w:p w14:paraId="3C40C49D" w14:textId="77777777" w:rsidR="004C52B9" w:rsidRPr="004C52B9" w:rsidRDefault="004C52B9" w:rsidP="00F03C82">
      <w:pPr>
        <w:spacing w:after="120"/>
        <w:rPr>
          <w:rFonts w:ascii="Times New Roman" w:eastAsia="Times New Roman" w:hAnsi="Times New Roman" w:cs="Times New Roman"/>
          <w:sz w:val="24"/>
          <w:szCs w:val="24"/>
        </w:rPr>
      </w:pPr>
    </w:p>
    <w:tbl>
      <w:tblPr>
        <w:tblW w:w="0" w:type="auto"/>
        <w:tblLook w:val="04A0" w:firstRow="1" w:lastRow="0" w:firstColumn="1" w:lastColumn="0" w:noHBand="0" w:noVBand="1"/>
      </w:tblPr>
      <w:tblGrid>
        <w:gridCol w:w="10080"/>
      </w:tblGrid>
      <w:tr w:rsidR="00CD44CA" w14:paraId="6BB7503D" w14:textId="77777777">
        <w:tc>
          <w:tcPr>
            <w:tcW w:w="10080" w:type="dxa"/>
            <w:shd w:val="clear" w:color="auto" w:fill="D9E7F7"/>
            <w:tcMar>
              <w:top w:w="70" w:type="dxa"/>
              <w:left w:w="90" w:type="dxa"/>
              <w:bottom w:w="70" w:type="dxa"/>
              <w:right w:w="90" w:type="dxa"/>
            </w:tcMar>
          </w:tcPr>
          <w:p w14:paraId="1056C459" w14:textId="77777777" w:rsidR="00CD44CA" w:rsidRDefault="004B61C4">
            <w:pPr>
              <w:spacing w:after="0"/>
            </w:pPr>
            <w:r>
              <w:rPr>
                <w:b/>
                <w:color w:val="1F4E79"/>
                <w:sz w:val="27"/>
              </w:rPr>
              <w:lastRenderedPageBreak/>
              <w:t>Recommendations</w:t>
            </w:r>
          </w:p>
        </w:tc>
      </w:tr>
    </w:tbl>
    <w:p w14:paraId="708A9248" w14:textId="77777777" w:rsidR="004B61C4" w:rsidRPr="004B61C4" w:rsidRDefault="004B61C4" w:rsidP="004B61C4">
      <w:pPr>
        <w:pStyle w:val="ListParagraph"/>
        <w:numPr>
          <w:ilvl w:val="0"/>
          <w:numId w:val="12"/>
        </w:numPr>
        <w:spacing w:after="0" w:line="240" w:lineRule="auto"/>
        <w:rPr>
          <w:rFonts w:ascii="Times New Roman" w:eastAsia="Times New Roman" w:hAnsi="Times New Roman" w:cs="Times New Roman"/>
          <w:sz w:val="24"/>
          <w:szCs w:val="24"/>
        </w:rPr>
      </w:pPr>
      <w:r w:rsidRPr="004B61C4">
        <w:rPr>
          <w:rStyle w:val="Strong"/>
          <w:rFonts w:ascii="Times New Roman" w:hAnsi="Times New Roman" w:cs="Times New Roman"/>
          <w:sz w:val="24"/>
          <w:szCs w:val="24"/>
        </w:rPr>
        <w:t>High-burden product groups:</w:t>
      </w:r>
      <w:r w:rsidRPr="004B61C4">
        <w:rPr>
          <w:rFonts w:ascii="Times New Roman" w:hAnsi="Times New Roman" w:cs="Times New Roman"/>
          <w:sz w:val="24"/>
          <w:szCs w:val="24"/>
        </w:rPr>
        <w:t xml:space="preserve"> Review </w:t>
      </w:r>
      <w:r w:rsidRPr="004B61C4">
        <w:rPr>
          <w:rStyle w:val="Strong"/>
          <w:rFonts w:ascii="Times New Roman" w:hAnsi="Times New Roman" w:cs="Times New Roman"/>
          <w:b w:val="0"/>
          <w:sz w:val="24"/>
          <w:szCs w:val="24"/>
        </w:rPr>
        <w:t>Soaps &amp; Detergents</w:t>
      </w:r>
      <w:r w:rsidRPr="004B61C4">
        <w:rPr>
          <w:rFonts w:ascii="Times New Roman" w:hAnsi="Times New Roman" w:cs="Times New Roman"/>
          <w:b/>
          <w:sz w:val="24"/>
          <w:szCs w:val="24"/>
        </w:rPr>
        <w:t xml:space="preserve"> </w:t>
      </w:r>
      <w:r w:rsidRPr="004B61C4">
        <w:rPr>
          <w:rFonts w:ascii="Times New Roman" w:hAnsi="Times New Roman" w:cs="Times New Roman"/>
          <w:sz w:val="24"/>
          <w:szCs w:val="24"/>
        </w:rPr>
        <w:t>and</w:t>
      </w:r>
      <w:r w:rsidRPr="004B61C4">
        <w:rPr>
          <w:rFonts w:ascii="Times New Roman" w:hAnsi="Times New Roman" w:cs="Times New Roman"/>
          <w:b/>
          <w:sz w:val="24"/>
          <w:szCs w:val="24"/>
        </w:rPr>
        <w:t xml:space="preserve"> </w:t>
      </w:r>
      <w:r w:rsidRPr="004B61C4">
        <w:rPr>
          <w:rStyle w:val="Strong"/>
          <w:rFonts w:ascii="Times New Roman" w:hAnsi="Times New Roman" w:cs="Times New Roman"/>
          <w:b w:val="0"/>
          <w:sz w:val="24"/>
          <w:szCs w:val="24"/>
        </w:rPr>
        <w:t>Dressings</w:t>
      </w:r>
      <w:r w:rsidRPr="004B61C4">
        <w:rPr>
          <w:rFonts w:ascii="Times New Roman" w:hAnsi="Times New Roman" w:cs="Times New Roman"/>
          <w:sz w:val="24"/>
          <w:szCs w:val="24"/>
        </w:rPr>
        <w:t xml:space="preserve"> for recurring formulation or process issues, as these groups account for the largest share of total adjustment burden.</w:t>
      </w:r>
    </w:p>
    <w:p w14:paraId="087B5EC7" w14:textId="0F1ABA70" w:rsidR="004B61C4" w:rsidRPr="004B61C4" w:rsidRDefault="00F03C82" w:rsidP="004B61C4">
      <w:pPr>
        <w:pStyle w:val="ListParagraph"/>
        <w:numPr>
          <w:ilvl w:val="0"/>
          <w:numId w:val="12"/>
        </w:numPr>
        <w:spacing w:after="0" w:line="240" w:lineRule="auto"/>
        <w:rPr>
          <w:rFonts w:ascii="Times New Roman" w:eastAsia="Times New Roman" w:hAnsi="Times New Roman" w:cs="Times New Roman"/>
          <w:sz w:val="24"/>
          <w:szCs w:val="24"/>
        </w:rPr>
      </w:pPr>
      <w:r w:rsidRPr="004B61C4">
        <w:rPr>
          <w:rFonts w:ascii="Times New Roman" w:eastAsia="Times New Roman" w:hAnsi="Times New Roman" w:cs="Times New Roman"/>
          <w:b/>
          <w:sz w:val="24"/>
          <w:szCs w:val="24"/>
        </w:rPr>
        <w:t>Tank 1:</w:t>
      </w:r>
      <w:r w:rsidRPr="004B61C4">
        <w:rPr>
          <w:rFonts w:ascii="Times New Roman" w:eastAsia="Times New Roman" w:hAnsi="Times New Roman" w:cs="Times New Roman"/>
          <w:sz w:val="24"/>
          <w:szCs w:val="24"/>
        </w:rPr>
        <w:t xml:space="preserve"> Use Tank 1 for non-solvent blends only when operationally necessary. Where possible, reserve it for solvent-based production or safer-fit categories such as cleaners and degreasers. </w:t>
      </w:r>
    </w:p>
    <w:p w14:paraId="33586ABF" w14:textId="1DA2AE08" w:rsidR="004B61C4" w:rsidRPr="004B61C4" w:rsidRDefault="00F03C82" w:rsidP="004B61C4">
      <w:pPr>
        <w:pStyle w:val="ListParagraph"/>
        <w:numPr>
          <w:ilvl w:val="0"/>
          <w:numId w:val="12"/>
        </w:numPr>
        <w:spacing w:after="0" w:line="240" w:lineRule="auto"/>
        <w:rPr>
          <w:rFonts w:ascii="Times New Roman" w:eastAsia="Times New Roman" w:hAnsi="Times New Roman" w:cs="Times New Roman"/>
          <w:sz w:val="24"/>
          <w:szCs w:val="24"/>
        </w:rPr>
      </w:pPr>
      <w:r w:rsidRPr="004B61C4">
        <w:rPr>
          <w:rFonts w:ascii="Times New Roman" w:eastAsia="Times New Roman" w:hAnsi="Times New Roman" w:cs="Times New Roman"/>
          <w:b/>
          <w:sz w:val="24"/>
          <w:szCs w:val="24"/>
        </w:rPr>
        <w:t>Skirt Area:</w:t>
      </w:r>
      <w:r w:rsidRPr="004B61C4">
        <w:rPr>
          <w:rFonts w:ascii="Times New Roman" w:eastAsia="Times New Roman" w:hAnsi="Times New Roman" w:cs="Times New Roman"/>
          <w:sz w:val="24"/>
          <w:szCs w:val="24"/>
        </w:rPr>
        <w:t xml:space="preserve"> Evaluate whether the Skirt area remains operationally necessary. Its limited maximum blend size, combined with elevated adjustment burden, may make it a comparatively inefficient use of manufacturing and lab resources. </w:t>
      </w:r>
    </w:p>
    <w:p w14:paraId="3E90AA77" w14:textId="0B808120" w:rsidR="00CD44CA" w:rsidRPr="004F2F77" w:rsidRDefault="004B61C4" w:rsidP="004B61C4">
      <w:pPr>
        <w:pStyle w:val="ListParagraph"/>
        <w:numPr>
          <w:ilvl w:val="0"/>
          <w:numId w:val="12"/>
        </w:numPr>
        <w:spacing w:after="0" w:line="240" w:lineRule="auto"/>
        <w:rPr>
          <w:rFonts w:ascii="Times New Roman" w:eastAsia="Times New Roman" w:hAnsi="Times New Roman" w:cs="Times New Roman"/>
          <w:sz w:val="24"/>
          <w:szCs w:val="24"/>
        </w:rPr>
      </w:pPr>
      <w:r w:rsidRPr="004B61C4">
        <w:rPr>
          <w:rStyle w:val="Strong"/>
          <w:rFonts w:ascii="Times New Roman" w:hAnsi="Times New Roman" w:cs="Times New Roman"/>
          <w:sz w:val="24"/>
          <w:szCs w:val="24"/>
        </w:rPr>
        <w:t>Performance monitoring:</w:t>
      </w:r>
      <w:r w:rsidRPr="004B61C4">
        <w:rPr>
          <w:rFonts w:ascii="Times New Roman" w:hAnsi="Times New Roman" w:cs="Times New Roman"/>
          <w:sz w:val="24"/>
          <w:szCs w:val="24"/>
        </w:rPr>
        <w:t xml:space="preserve"> Use the 30-day rolling trend as an ongoing KPI to track whether adjustment burden is improving after operational changes are made.</w:t>
      </w:r>
    </w:p>
    <w:p w14:paraId="189B550E" w14:textId="7ACCCBD9" w:rsidR="004F2F77" w:rsidRPr="004B61C4" w:rsidRDefault="004F2F77" w:rsidP="004B61C4">
      <w:pPr>
        <w:pStyle w:val="ListParagraph"/>
        <w:numPr>
          <w:ilvl w:val="0"/>
          <w:numId w:val="12"/>
        </w:numPr>
        <w:spacing w:after="0" w:line="240" w:lineRule="auto"/>
        <w:rPr>
          <w:rFonts w:ascii="Times New Roman" w:eastAsia="Times New Roman" w:hAnsi="Times New Roman" w:cs="Times New Roman"/>
          <w:sz w:val="24"/>
          <w:szCs w:val="24"/>
        </w:rPr>
      </w:pPr>
      <w:r w:rsidRPr="004F2F77">
        <w:rPr>
          <w:rFonts w:ascii="Times New Roman" w:eastAsia="Times New Roman" w:hAnsi="Times New Roman" w:cs="Times New Roman"/>
          <w:b/>
          <w:bCs/>
          <w:sz w:val="24"/>
          <w:szCs w:val="24"/>
        </w:rPr>
        <w:t>Material cost impact:</w:t>
      </w:r>
      <w:r w:rsidRPr="004F2F77">
        <w:rPr>
          <w:rFonts w:ascii="Times New Roman" w:eastAsia="Times New Roman" w:hAnsi="Times New Roman" w:cs="Times New Roman"/>
          <w:sz w:val="24"/>
          <w:szCs w:val="24"/>
        </w:rPr>
        <w:t xml:space="preserve"> Extend the analysis to measure how adjustments affect total blend cost, especially where added material is not reflected in the original schedule. This would require additional material usage and cost data.</w:t>
      </w:r>
    </w:p>
    <w:sectPr w:rsidR="004F2F77" w:rsidRPr="004B61C4"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941EC7"/>
    <w:multiLevelType w:val="hybridMultilevel"/>
    <w:tmpl w:val="B9CE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170AA3"/>
    <w:multiLevelType w:val="hybridMultilevel"/>
    <w:tmpl w:val="810E8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C7590F"/>
    <w:multiLevelType w:val="hybridMultilevel"/>
    <w:tmpl w:val="B1DE1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39363">
    <w:abstractNumId w:val="8"/>
  </w:num>
  <w:num w:numId="2" w16cid:durableId="1984920506">
    <w:abstractNumId w:val="6"/>
  </w:num>
  <w:num w:numId="3" w16cid:durableId="227153043">
    <w:abstractNumId w:val="5"/>
  </w:num>
  <w:num w:numId="4" w16cid:durableId="2069380490">
    <w:abstractNumId w:val="4"/>
  </w:num>
  <w:num w:numId="5" w16cid:durableId="1078938063">
    <w:abstractNumId w:val="7"/>
  </w:num>
  <w:num w:numId="6" w16cid:durableId="346521512">
    <w:abstractNumId w:val="3"/>
  </w:num>
  <w:num w:numId="7" w16cid:durableId="1155996475">
    <w:abstractNumId w:val="2"/>
  </w:num>
  <w:num w:numId="8" w16cid:durableId="831481390">
    <w:abstractNumId w:val="1"/>
  </w:num>
  <w:num w:numId="9" w16cid:durableId="1335230514">
    <w:abstractNumId w:val="0"/>
  </w:num>
  <w:num w:numId="10" w16cid:durableId="1884437938">
    <w:abstractNumId w:val="11"/>
  </w:num>
  <w:num w:numId="11" w16cid:durableId="1343242835">
    <w:abstractNumId w:val="10"/>
  </w:num>
  <w:num w:numId="12" w16cid:durableId="15842927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01262"/>
    <w:rsid w:val="00326F90"/>
    <w:rsid w:val="00416BCC"/>
    <w:rsid w:val="004275B1"/>
    <w:rsid w:val="004B61C4"/>
    <w:rsid w:val="004C52B9"/>
    <w:rsid w:val="004F2F77"/>
    <w:rsid w:val="005D6780"/>
    <w:rsid w:val="00816B18"/>
    <w:rsid w:val="00871BCF"/>
    <w:rsid w:val="009A1EF8"/>
    <w:rsid w:val="00AA1D8D"/>
    <w:rsid w:val="00B47730"/>
    <w:rsid w:val="00C02DC8"/>
    <w:rsid w:val="00C6398B"/>
    <w:rsid w:val="00C8040F"/>
    <w:rsid w:val="00CB0664"/>
    <w:rsid w:val="00CD44CA"/>
    <w:rsid w:val="00F03C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2EBDE"/>
  <w14:defaultImageDpi w14:val="300"/>
  <w15:docId w15:val="{4A74D916-C643-46EC-9350-2CB872F3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03C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33779">
      <w:bodyDiv w:val="1"/>
      <w:marLeft w:val="0"/>
      <w:marRight w:val="0"/>
      <w:marTop w:val="0"/>
      <w:marBottom w:val="0"/>
      <w:divBdr>
        <w:top w:val="none" w:sz="0" w:space="0" w:color="auto"/>
        <w:left w:val="none" w:sz="0" w:space="0" w:color="auto"/>
        <w:bottom w:val="none" w:sz="0" w:space="0" w:color="auto"/>
        <w:right w:val="none" w:sz="0" w:space="0" w:color="auto"/>
      </w:divBdr>
    </w:div>
    <w:div w:id="489055452">
      <w:bodyDiv w:val="1"/>
      <w:marLeft w:val="0"/>
      <w:marRight w:val="0"/>
      <w:marTop w:val="0"/>
      <w:marBottom w:val="0"/>
      <w:divBdr>
        <w:top w:val="none" w:sz="0" w:space="0" w:color="auto"/>
        <w:left w:val="none" w:sz="0" w:space="0" w:color="auto"/>
        <w:bottom w:val="none" w:sz="0" w:space="0" w:color="auto"/>
        <w:right w:val="none" w:sz="0" w:space="0" w:color="auto"/>
      </w:divBdr>
    </w:div>
    <w:div w:id="1030952445">
      <w:bodyDiv w:val="1"/>
      <w:marLeft w:val="0"/>
      <w:marRight w:val="0"/>
      <w:marTop w:val="0"/>
      <w:marBottom w:val="0"/>
      <w:divBdr>
        <w:top w:val="none" w:sz="0" w:space="0" w:color="auto"/>
        <w:left w:val="none" w:sz="0" w:space="0" w:color="auto"/>
        <w:bottom w:val="none" w:sz="0" w:space="0" w:color="auto"/>
        <w:right w:val="none" w:sz="0" w:space="0" w:color="auto"/>
      </w:divBdr>
    </w:div>
    <w:div w:id="1516648724">
      <w:bodyDiv w:val="1"/>
      <w:marLeft w:val="0"/>
      <w:marRight w:val="0"/>
      <w:marTop w:val="0"/>
      <w:marBottom w:val="0"/>
      <w:divBdr>
        <w:top w:val="none" w:sz="0" w:space="0" w:color="auto"/>
        <w:left w:val="none" w:sz="0" w:space="0" w:color="auto"/>
        <w:bottom w:val="none" w:sz="0" w:space="0" w:color="auto"/>
        <w:right w:val="none" w:sz="0" w:space="0" w:color="auto"/>
      </w:divBdr>
    </w:div>
    <w:div w:id="1559896647">
      <w:bodyDiv w:val="1"/>
      <w:marLeft w:val="0"/>
      <w:marRight w:val="0"/>
      <w:marTop w:val="0"/>
      <w:marBottom w:val="0"/>
      <w:divBdr>
        <w:top w:val="none" w:sz="0" w:space="0" w:color="auto"/>
        <w:left w:val="none" w:sz="0" w:space="0" w:color="auto"/>
        <w:bottom w:val="none" w:sz="0" w:space="0" w:color="auto"/>
        <w:right w:val="none" w:sz="0" w:space="0" w:color="auto"/>
      </w:divBdr>
    </w:div>
    <w:div w:id="1564606596">
      <w:bodyDiv w:val="1"/>
      <w:marLeft w:val="0"/>
      <w:marRight w:val="0"/>
      <w:marTop w:val="0"/>
      <w:marBottom w:val="0"/>
      <w:divBdr>
        <w:top w:val="none" w:sz="0" w:space="0" w:color="auto"/>
        <w:left w:val="none" w:sz="0" w:space="0" w:color="auto"/>
        <w:bottom w:val="none" w:sz="0" w:space="0" w:color="auto"/>
        <w:right w:val="none" w:sz="0" w:space="0" w:color="auto"/>
      </w:divBdr>
    </w:div>
    <w:div w:id="1702243291">
      <w:bodyDiv w:val="1"/>
      <w:marLeft w:val="0"/>
      <w:marRight w:val="0"/>
      <w:marTop w:val="0"/>
      <w:marBottom w:val="0"/>
      <w:divBdr>
        <w:top w:val="none" w:sz="0" w:space="0" w:color="auto"/>
        <w:left w:val="none" w:sz="0" w:space="0" w:color="auto"/>
        <w:bottom w:val="none" w:sz="0" w:space="0" w:color="auto"/>
        <w:right w:val="none" w:sz="0" w:space="0" w:color="auto"/>
      </w:divBdr>
    </w:div>
    <w:div w:id="1728872328">
      <w:bodyDiv w:val="1"/>
      <w:marLeft w:val="0"/>
      <w:marRight w:val="0"/>
      <w:marTop w:val="0"/>
      <w:marBottom w:val="0"/>
      <w:divBdr>
        <w:top w:val="none" w:sz="0" w:space="0" w:color="auto"/>
        <w:left w:val="none" w:sz="0" w:space="0" w:color="auto"/>
        <w:bottom w:val="none" w:sz="0" w:space="0" w:color="auto"/>
        <w:right w:val="none" w:sz="0" w:space="0" w:color="auto"/>
      </w:divBdr>
    </w:div>
    <w:div w:id="2078278499">
      <w:bodyDiv w:val="1"/>
      <w:marLeft w:val="0"/>
      <w:marRight w:val="0"/>
      <w:marTop w:val="0"/>
      <w:marBottom w:val="0"/>
      <w:divBdr>
        <w:top w:val="none" w:sz="0" w:space="0" w:color="auto"/>
        <w:left w:val="none" w:sz="0" w:space="0" w:color="auto"/>
        <w:bottom w:val="none" w:sz="0" w:space="0" w:color="auto"/>
        <w:right w:val="none" w:sz="0" w:space="0" w:color="auto"/>
      </w:divBdr>
      <w:divsChild>
        <w:div w:id="840895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7F0649-F7E2-47F2-89AC-57658029D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5</Pages>
  <Words>829</Words>
  <Characters>5127</Characters>
  <Application>Microsoft Office Word</Application>
  <DocSecurity>0</DocSecurity>
  <Lines>100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Mars</cp:lastModifiedBy>
  <cp:revision>8</cp:revision>
  <dcterms:created xsi:type="dcterms:W3CDTF">2026-03-26T17:18:00Z</dcterms:created>
  <dcterms:modified xsi:type="dcterms:W3CDTF">2026-04-15T18:14:00Z</dcterms:modified>
  <cp:category/>
</cp:coreProperties>
</file>