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36"/>
        </w:rPr>
        <w:t>CIRCLE GROUP</w:t>
      </w:r>
    </w:p>
    <w:p>
      <w:pPr>
        <w:spacing w:after="100"/>
        <w:jc w:val="center"/>
      </w:pPr>
      <w:r>
        <w:rPr>
          <w:b/>
          <w:sz w:val="24"/>
        </w:rPr>
        <w:t>Bringing opportunity closer to young women</w:t>
      </w:r>
    </w:p>
    <w:p>
      <w:pPr>
        <w:jc w:val="center"/>
      </w:pPr>
      <w:r>
        <w:t>Circle Group is a women-led Kenyan social enterprise working with young women, particularly those in rural, marginalised and underserved communities, to build pathways into dignified work and sustainable livelihoods.</w:t>
      </w:r>
    </w:p>
    <w:p>
      <w:pPr>
        <w:jc w:val="center"/>
      </w:pPr>
      <w:r>
        <w:rPr>
          <w:b/>
        </w:rPr>
        <w:t>Our goal is simple: reduce the distance between a young woman and sustainable income.</w:t>
      </w:r>
    </w:p>
    <w:p>
      <w:pPr>
        <w:spacing w:before="100" w:after="40"/>
      </w:pPr>
      <w:r>
        <w:rPr>
          <w:b/>
          <w:sz w:val="21"/>
        </w:rPr>
        <w:t>WHAT WE DO</w:t>
      </w:r>
    </w:p>
    <w:p>
      <w:r>
        <w:rPr>
          <w:b/>
        </w:rPr>
        <w:t xml:space="preserve">Different starting points. Different pathways. One destination. </w:t>
      </w:r>
      <w:r>
        <w:t>Some young women need technical training; others already have skills but need customers, capital or business support; others are ready for work but need industry connections. We meet each woman where she is and connect her to the support she needs.</w:t>
      </w:r>
    </w:p>
    <w:p>
      <w:r>
        <w:rPr>
          <w:b/>
        </w:rPr>
        <w:t xml:space="preserve">Skills &amp; Education: </w:t>
      </w:r>
      <w:r>
        <w:t xml:space="preserve">TVET access, scholarships, life skills, mentorship and retention support.  </w:t>
      </w:r>
      <w:r>
        <w:rPr>
          <w:b/>
        </w:rPr>
        <w:t xml:space="preserve">Employment: </w:t>
      </w:r>
      <w:r>
        <w:t xml:space="preserve">Career preparation, internships, industry exposure and employer connections.  </w:t>
      </w:r>
      <w:r>
        <w:rPr>
          <w:b/>
        </w:rPr>
        <w:t xml:space="preserve">Enterprise: </w:t>
      </w:r>
      <w:r>
        <w:t xml:space="preserve">Business development, financial capability, mentorship, capital and market linkages.  </w:t>
      </w:r>
      <w:r>
        <w:rPr>
          <w:b/>
        </w:rPr>
        <w:t xml:space="preserve">Inclusion: </w:t>
      </w:r>
      <w:r>
        <w:t>Practical support addressing distance, caregiving, disability, accommodation, mobility and family circumstances.</w:t>
      </w:r>
    </w:p>
    <w:p>
      <w:pPr>
        <w:spacing w:before="100" w:after="40"/>
      </w:pPr>
      <w:r>
        <w:rPr>
          <w:b/>
          <w:sz w:val="21"/>
        </w:rPr>
        <w:t>OUR IMPACT</w:t>
      </w:r>
    </w:p>
    <w:tbl>
      <w:tblPr>
        <w:tblW w:type="auto" w:w="0"/>
        <w:jc w:val="center"/>
        <w:tblLayout w:type="autofit"/>
        <w:tblLook w:firstColumn="1" w:firstRow="1" w:lastColumn="0" w:lastRow="0" w:noHBand="0" w:noVBand="1" w:val="04A0"/>
      </w:tblPr>
      <w:tblGrid>
        <w:gridCol w:w="3456"/>
        <w:gridCol w:w="3456"/>
        <w:gridCol w:w="3456"/>
      </w:tblGrid>
      <w:tr>
        <w:tc>
          <w:tcPr>
            <w:tcW w:type="dxa" w:w="3456"/>
            <w:vAlign w:val="cente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Pr>
          <w:p>
            <w:pPr>
              <w:jc w:val="center"/>
            </w:pPr>
            <w:r>
              <w:rPr>
                <w:b/>
                <w:sz w:val="26"/>
              </w:rPr>
              <w:t>2,500+</w:t>
            </w:r>
          </w:p>
          <w:p>
            <w:pPr>
              <w:jc w:val="center"/>
            </w:pPr>
            <w:r>
              <w:rPr>
                <w:sz w:val="16"/>
              </w:rPr>
              <w:t>Young women reached through life skills, career and work-readiness programmes</w:t>
            </w:r>
          </w:p>
        </w:tc>
        <w:tc>
          <w:tcPr>
            <w:tcW w:type="dxa" w:w="3456"/>
            <w:vAlign w:val="cente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Pr>
          <w:p>
            <w:pPr>
              <w:jc w:val="center"/>
            </w:pPr>
            <w:r>
              <w:rPr>
                <w:b/>
                <w:sz w:val="26"/>
              </w:rPr>
              <w:t>1,200+</w:t>
            </w:r>
          </w:p>
          <w:p>
            <w:pPr>
              <w:jc w:val="center"/>
            </w:pPr>
            <w:r>
              <w:rPr>
                <w:sz w:val="16"/>
              </w:rPr>
              <w:t>Rural young women supported to access technical training</w:t>
            </w:r>
          </w:p>
        </w:tc>
        <w:tc>
          <w:tcPr>
            <w:tcW w:type="dxa" w:w="3456"/>
            <w:vAlign w:val="cente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Pr>
          <w:p>
            <w:pPr>
              <w:jc w:val="center"/>
            </w:pPr>
            <w:r>
              <w:rPr>
                <w:b/>
                <w:sz w:val="26"/>
              </w:rPr>
              <w:t>200+</w:t>
            </w:r>
          </w:p>
          <w:p>
            <w:pPr>
              <w:jc w:val="center"/>
            </w:pPr>
            <w:r>
              <w:rPr>
                <w:sz w:val="16"/>
              </w:rPr>
              <w:t>Connected to internships and workplace experience</w:t>
            </w:r>
          </w:p>
        </w:tc>
      </w:tr>
      <w:tr>
        <w:tc>
          <w:tcPr>
            <w:tcW w:type="dxa" w:w="3456"/>
            <w:vAlign w:val="cente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Pr>
          <w:p>
            <w:pPr>
              <w:jc w:val="center"/>
            </w:pPr>
            <w:r>
              <w:rPr>
                <w:b/>
                <w:sz w:val="26"/>
              </w:rPr>
              <w:t>170</w:t>
            </w:r>
          </w:p>
          <w:p>
            <w:pPr>
              <w:jc w:val="center"/>
            </w:pPr>
            <w:r>
              <w:rPr>
                <w:sz w:val="16"/>
              </w:rPr>
              <w:t>Supported with seed capital to start or grow businesses</w:t>
            </w:r>
          </w:p>
        </w:tc>
        <w:tc>
          <w:tcPr>
            <w:tcW w:type="dxa" w:w="3456"/>
            <w:vAlign w:val="cente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Pr>
          <w:p>
            <w:pPr>
              <w:jc w:val="center"/>
            </w:pPr>
            <w:r>
              <w:rPr>
                <w:b/>
                <w:sz w:val="26"/>
              </w:rPr>
              <w:t>100+</w:t>
            </w:r>
          </w:p>
          <w:p>
            <w:pPr>
              <w:jc w:val="center"/>
            </w:pPr>
            <w:r>
              <w:rPr>
                <w:sz w:val="16"/>
              </w:rPr>
              <w:t>Industry and employer partners</w:t>
            </w:r>
          </w:p>
        </w:tc>
        <w:tc>
          <w:tcPr>
            <w:tcW w:type="dxa" w:w="3456"/>
            <w:vAlign w:val="center"/>
            <w:tcBorders>
              <w:top w:val="single" w:sz="3" w:space="0" w:color="D9D9D9"/>
              <w:left w:val="single" w:sz="3" w:space="0" w:color="D9D9D9"/>
              <w:bottom w:val="single" w:sz="3" w:space="0" w:color="D9D9D9"/>
              <w:right w:val="single" w:sz="3" w:space="0" w:color="D9D9D9"/>
              <w:insideH w:val="single" w:sz="3" w:space="0" w:color="D9D9D9"/>
              <w:insideV w:val="single" w:sz="3" w:space="0" w:color="D9D9D9"/>
            </w:tcBorders>
          </w:tcPr>
          <w:p>
            <w:pPr>
              <w:jc w:val="center"/>
            </w:pPr>
            <w:r>
              <w:rPr>
                <w:b/>
                <w:sz w:val="26"/>
              </w:rPr>
              <w:t>16</w:t>
            </w:r>
          </w:p>
          <w:p>
            <w:pPr>
              <w:jc w:val="center"/>
            </w:pPr>
            <w:r>
              <w:rPr>
                <w:sz w:val="16"/>
              </w:rPr>
              <w:t>Young-women-led savings groups established in West Pokot</w:t>
            </w:r>
          </w:p>
        </w:tc>
      </w:tr>
    </w:tbl>
    <w:p>
      <w:pPr>
        <w:jc w:val="center"/>
      </w:pPr>
      <w:r>
        <w:rPr>
          <w:b/>
        </w:rPr>
        <w:t>Access → Retention → Completion → Transition → Sustainable Earning</w:t>
      </w:r>
    </w:p>
    <w:p>
      <w:pPr>
        <w:spacing w:before="100" w:after="40"/>
      </w:pPr>
      <w:r>
        <w:rPr>
          <w:b/>
          <w:sz w:val="21"/>
        </w:rPr>
        <w:t>WHERE WE WORK</w:t>
      </w:r>
    </w:p>
    <w:p>
      <w:r>
        <w:t>Our direct work is concentrated in Kajiado and West Pokot, reaching young women from rural and underserved communities, including participants from Turkana, Baringo, Samburu, Taita Taveta and Makueni. We work through existing TVETs, grassroots organisations, communities and employers rather than creating parallel systems.</w:t>
      </w:r>
    </w:p>
    <w:p>
      <w:pPr>
        <w:spacing w:before="100" w:after="40"/>
      </w:pPr>
      <w:r>
        <w:rPr>
          <w:b/>
          <w:sz w:val="21"/>
        </w:rPr>
        <w:t>THEIR JOURNEYS</w:t>
      </w:r>
    </w:p>
    <w:p>
      <w:r>
        <w:rPr>
          <w:b/>
        </w:rPr>
        <w:t xml:space="preserve">[NAME] — From rural community to technical career. </w:t>
      </w:r>
      <w:r>
        <w:t>[Starting point → barrier → Circle Group support → training → internship/employment.]</w:t>
      </w:r>
    </w:p>
    <w:p>
      <w:r>
        <w:rPr>
          <w:b/>
        </w:rPr>
        <w:t xml:space="preserve">[NAME] — Turning a skill into income. </w:t>
      </w:r>
      <w:r>
        <w:t>[Existing skill → business support → capital/market → customers → current enterprise outcome.]</w:t>
      </w:r>
    </w:p>
    <w:p>
      <w:r>
        <w:rPr>
          <w:b/>
        </w:rPr>
        <w:t xml:space="preserve">[NAME] — Creating her own pathway. </w:t>
      </w:r>
      <w:r>
        <w:t>[Access barrier → support/accommodation → participant agency → current livelihood.]</w:t>
      </w:r>
    </w:p>
    <w:p>
      <w:pPr>
        <w:spacing w:before="100" w:after="40"/>
      </w:pPr>
      <w:r>
        <w:rPr>
          <w:b/>
          <w:sz w:val="21"/>
        </w:rPr>
        <w:t>PARTNERSHIPS THAT MAKE THE PATHWAY POSSIBLE</w:t>
      </w:r>
    </w:p>
    <w:p>
      <w:r>
        <w:t>We work with Maasai National Polytechnic and other training institutions; grassroots partners HELGA and Perur Rays of Hope; Global Give Back Circle through HER Lab; AIC Kajiado Child Care Centre for disability inclusion; and a network of 100+ employers and industry partners creating internships, employment, mentorship and market opportunities. We also engage county governments, business networks and professional mentors to strengthen the wider pathway between education and work.</w:t>
      </w:r>
    </w:p>
    <w:p>
      <w:pPr>
        <w:spacing w:before="100" w:after="40"/>
      </w:pPr>
      <w:r>
        <w:rPr>
          <w:b/>
          <w:sz w:val="21"/>
        </w:rPr>
        <w:t>WHAT WE HAVE LEARNED</w:t>
      </w:r>
    </w:p>
    <w:p>
      <w:r>
        <w:rPr>
          <w:b/>
        </w:rPr>
        <w:t xml:space="preserve">The challenge is not simply lack of skills. It is lack of an accessible pathway from capability to income. </w:t>
      </w:r>
      <w:r>
        <w:t xml:space="preserve">A certificate does not automatically create a job. Business training does not automatically create a customer. Capital does not automatically create a viable enterprise. So we start with a different question: </w:t>
      </w:r>
      <w:r>
        <w:rPr>
          <w:b/>
        </w:rPr>
        <w:t>What stands between this young woman and sustainable income?</w:t>
      </w:r>
    </w:p>
    <w:p>
      <w:pPr>
        <w:jc w:val="center"/>
      </w:pPr>
      <w:r>
        <w:rPr>
          <w:b/>
        </w:rPr>
        <w:t>The pathway adapts to the woman—not the woman to the programme.</w:t>
      </w:r>
    </w:p>
    <w:p>
      <w:pPr>
        <w:spacing w:before="100" w:after="40"/>
      </w:pPr>
      <w:r>
        <w:rPr>
          <w:b/>
          <w:sz w:val="21"/>
        </w:rPr>
        <w:t>WORK WITH US</w:t>
      </w:r>
    </w:p>
    <w:p>
      <w:r>
        <w:t>We partner with TVETs, foundations, development organisations, government, employers and community organisations to design and deliver livelihood, skilling, entrepreneurship and transition-to-work programmes for young women.</w:t>
      </w:r>
    </w:p>
    <w:p>
      <w:pPr>
        <w:jc w:val="center"/>
      </w:pPr>
      <w:r>
        <w:rPr>
          <w:b/>
        </w:rPr>
        <w:t>Partner with us | Fund our work | Hire our talent | Open markets for young women</w:t>
      </w:r>
    </w:p>
    <w:p>
      <w:pPr>
        <w:jc w:val="center"/>
      </w:pPr>
      <w:r>
        <w:rPr>
          <w:i/>
        </w:rPr>
        <w:t>Circle Group Limited — Building pathways from capability to sustainable livelihoods.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