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GréineGrid Qagent — 5-Minute Defence: Speaker Notes</w:t>
      </w:r>
    </w:p>
    <w:p>
      <w:r>
        <w:rPr>
          <w:color w:val="64748B"/>
        </w:rPr>
        <w:t xml:space="preserve">B9AI105 CA1 · Deck: GreineGrid_RL_CA1_Defence_v2.pptx (8 slides) · 5 min timed + 15 min Q&amp;A</w:t>
      </w:r>
    </w:p>
    <w:p>
      <w:r>
        <w:t xml:space="preserve"/>
      </w:r>
    </w:p>
    <w:p>
      <w:pPr>
        <w:pStyle w:val="Heading1"/>
      </w:pPr>
      <w:r>
        <w:t xml:space="preserve">Before you start (all 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Rehearse the full run at 4:45 — 15-second buffer before the hard 5:00 cut.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read slides. Slides are visual prompts; speak the story.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Handoffs by name: “I’ll hand to [Name] for…”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Demo (slides 1, 6, 8): mention the URL only — no live walkthrough unless the panel asks. Verify the deployment is up on the morning of the defence; fall back to local `streamlit run dashboard/app.py`.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 member must be able to write the Q-Learning update on the board and explain the reward function unaided — the Q&amp;A exists to confirm ownership.</w:t>
      </w:r>
    </w:p>
    <w:p>
      <w:pPr>
        <w:pStyle w:val="Heading1"/>
      </w:pPr>
      <w:r>
        <w:t xml:space="preserve">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Cumulative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2:45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3:55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1 (close)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0:25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4:20 + transitions ≈ 4:45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Slide-by-slide</w:t>
      </w:r>
    </w:p>
    <w:p>
      <w:pPr>
        <w:pStyle w:val="Heading2"/>
      </w:pPr>
      <w:r>
        <w:t xml:space="preserve">Slide 1 — Title</w:t>
      </w:r>
    </w:p>
    <w:p>
      <w:r>
        <w:rPr>
          <w:b/>
          <w:bCs/>
          <w:color w:val="B45309"/>
        </w:rPr>
        <w:t xml:space="preserve">Presenter: Member 1   ·   Time: 0:15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“We’re GréineQ — reinforcement learning for home battery dispatch on a solar microgrid. We built tabular Q-Learning and SARSA from scratch in NumPy, on real Ausgrid and AEMO data. Live demo at greineq-agent.sudocod.com.”</w:t>
      </w:r>
    </w:p>
    <w:p>
      <w:r>
        <w:rPr>
          <w:b/>
          <w:bCs/>
        </w:rPr>
        <w:t xml:space="preserve">Don’t: </w:t>
      </w:r>
      <w:r>
        <w:t xml:space="preserve">Read the subtitle or explain the branding. 15 seconds, move on.</w:t>
      </w:r>
    </w:p>
    <w:p>
      <w:pPr>
        <w:pStyle w:val="Heading2"/>
      </w:pPr>
      <w:r>
        <w:t xml:space="preserve">Slide 2 — The problem</w:t>
      </w:r>
    </w:p>
    <w:p>
      <w:r>
        <w:rPr>
          <w:b/>
          <w:bCs/>
          <w:color w:val="B45309"/>
        </w:rPr>
        <w:t xml:space="preserve">Presenter: Member 1   ·   Time: 0:35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“Solar peaks at midday; demand peaks morning and evening — point at the chart. Without a battery, surplus is exported cheap and the evening is bought dear. The controller decides every 30 minutes: hold, charge, or discharge — 48 steps a day. This is sequential decision-making, not prediction: today’s action changes tomorrow’s battery state.”</w:t>
      </w:r>
    </w:p>
    <w:p>
      <w:r>
        <w:rPr>
          <w:b/>
          <w:bCs/>
        </w:rPr>
        <w:t xml:space="preserve">Point at: </w:t>
      </w:r>
      <w:r>
        <w:t xml:space="preserve">Daily profile chart (midday PV bell vs evening load/price peak).</w:t>
      </w:r>
    </w:p>
    <w:p>
      <w:pPr>
        <w:pStyle w:val="Heading2"/>
      </w:pPr>
      <w:r>
        <w:t xml:space="preserve">Slide 3 — Method in three numbers</w:t>
      </w:r>
    </w:p>
    <w:p>
      <w:r>
        <w:rPr>
          <w:b/>
          <w:bCs/>
          <w:color w:val="B45309"/>
        </w:rPr>
        <w:t xml:space="preserve">Presenter: Member 1   ·   Time: 0:35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“We model one day as a 48-step MDP: 324 discretised states — state of charge, solar, load, price, time of day — and three actions. Physics: 10 kWh battery, 5 kW limits, SOC clamped 10–90%. Q-Learning and SARSA implemented from scratch in NumPy, compared against four baselines from a no-battery floor to a perfect-foresight oracle.”</w:t>
      </w:r>
    </w:p>
    <w:p>
      <w:r>
        <w:rPr>
          <w:b/>
          <w:bCs/>
        </w:rPr>
        <w:t xml:space="preserve">Handoff: </w:t>
      </w:r>
      <w:r>
        <w:t xml:space="preserve">“[Member 2] will take reward design and results.”</w:t>
      </w:r>
    </w:p>
    <w:p>
      <w:pPr>
        <w:pStyle w:val="Heading2"/>
      </w:pPr>
      <w:r>
        <w:t xml:space="preserve">Slide 4 — Reward redesign (strongest argument)</w:t>
      </w:r>
    </w:p>
    <w:p>
      <w:r>
        <w:rPr>
          <w:b/>
          <w:bCs/>
          <w:color w:val="B45309"/>
        </w:rPr>
        <w:t xml:space="preserve">Presenter: Member 2   ·   Time: 0:40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“Our first reward was a wholesale-price proxy. The agent looked good in training and lost on the real bill — reward–metric misalignment. v2 monetises everything in AUD: retail margin on imports, feed-in value of wasted solar, optional degradation. Now reward ranking matches bill ranking — and we verified that in an ablation.”</w:t>
      </w:r>
    </w:p>
    <w:p>
      <w:r>
        <w:rPr>
          <w:b/>
          <w:bCs/>
        </w:rPr>
        <w:t xml:space="preserve">Key phrase: </w:t>
      </w:r>
      <w:r>
        <w:t xml:space="preserve">“The training reward diverged from the evaluation metric.” Treat this slide as the project’s core contribution, not a detail.</w:t>
      </w:r>
    </w:p>
    <w:p>
      <w:pPr>
        <w:pStyle w:val="Heading2"/>
      </w:pPr>
      <w:r>
        <w:t xml:space="preserve">Slide 5 — Main results</w:t>
      </w:r>
    </w:p>
    <w:p>
      <w:r>
        <w:rPr>
          <w:b/>
          <w:bCs/>
          <w:color w:val="B45309"/>
        </w:rPr>
        <w:t xml:space="preserve">Presenter: Member 2   ·   Time: 0:40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“No battery: 160.75 AUD over 53 days. The perfect-foresight oracle: 49.19 — the theoretical floor. Q-Learning 62.02 and SARSA 63.75 beat the tertile rule by 31–33%. But greedy self-consumption reaches 52.15. RL beats the weak rule, not the strong heuristic — and we report that honestly.”</w:t>
      </w:r>
    </w:p>
    <w:p>
      <w:r>
        <w:rPr>
          <w:b/>
          <w:bCs/>
        </w:rPr>
        <w:t xml:space="preserve">Don’t: </w:t>
      </w:r>
      <w:r>
        <w:t xml:space="preserve">Hide that greedy wins — it sets up the next slide, which is the headline.</w:t>
      </w:r>
    </w:p>
    <w:p>
      <w:r>
        <w:rPr>
          <w:b/>
          <w:bCs/>
        </w:rPr>
        <w:t xml:space="preserve">Handoff: </w:t>
      </w:r>
      <w:r>
        <w:t xml:space="preserve">“[Member 3] will explain why that matters.”</w:t>
      </w:r>
    </w:p>
    <w:p>
      <w:pPr>
        <w:pStyle w:val="Heading2"/>
      </w:pPr>
      <w:r>
        <w:t xml:space="preserve">Slide 6 — Headline finding — 97.4%</w:t>
      </w:r>
    </w:p>
    <w:p>
      <w:r>
        <w:rPr>
          <w:b/>
          <w:bCs/>
          <w:color w:val="B45309"/>
        </w:rPr>
        <w:t xml:space="preserve">Presenter: Member 3   ·   Time: 0:35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“The most important result is not that RL beats every baseline — it’s that a simple heuristic already captures 97.4% of what’s achievable. With solar-only charging and coarse states, using every surplus and covering every deficit is near-optimal.”</w:t>
      </w:r>
    </w:p>
    <w:p>
      <w:r>
        <w:rPr>
          <w:b/>
          <w:bCs/>
        </w:rPr>
        <w:t xml:space="preserve">Visual: </w:t>
      </w:r>
      <w:r>
        <w:t xml:space="preserve">Digital-twin screenshot; open the live dashboard only if the panel asks.</w:t>
      </w:r>
    </w:p>
    <w:p>
      <w:pPr>
        <w:pStyle w:val="Heading2"/>
      </w:pPr>
      <w:r>
        <w:t xml:space="preserve">Slide 7 — What we’re not claiming</w:t>
      </w:r>
    </w:p>
    <w:p>
      <w:r>
        <w:rPr>
          <w:b/>
          <w:bCs/>
          <w:color w:val="B45309"/>
        </w:rPr>
        <w:t xml:space="preserve">Presenter: Member 3   ·   Time: 0:35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“Known limits: one customer, solar-only dispatch, coarse time bins that break the strict Markov property. 5 seeds × 10k episodes: Q-Learning 61.75 ± 2.14 AUD, SARSA 61.62 ± 0.86 AUD, paired t-test p = 0.90. RL’s value rises with grid charging, price arbitrage, and fleet coordination — scoped for CA2 on this same MDP and codebase.”</w:t>
      </w:r>
    </w:p>
    <w:p>
      <w:r>
        <w:rPr>
          <w:b/>
          <w:bCs/>
        </w:rPr>
        <w:t xml:space="preserve">Memorise (all 3): </w:t>
      </w:r>
      <w:r>
        <w:t xml:space="preserve">“RL value increases with grid charging, export tariffs, or fleet-level aggregation — flagged as CA2 extensions, not because RL failed here.”</w:t>
      </w:r>
    </w:p>
    <w:p>
      <w:pPr>
        <w:pStyle w:val="Heading2"/>
      </w:pPr>
      <w:r>
        <w:t xml:space="preserve">Slide 8 — Conclusion</w:t>
      </w:r>
    </w:p>
    <w:p>
      <w:r>
        <w:rPr>
          <w:b/>
          <w:bCs/>
          <w:color w:val="B45309"/>
        </w:rPr>
        <w:t xml:space="preserve">Presenter: Member 1 (who opened, closes)   ·   Time: 0:25</w:t>
      </w:r>
    </w:p>
    <w:p>
      <w:r>
        <w:rPr>
          <w:b/>
          <w:bCs/>
        </w:rPr>
        <w:t xml:space="preserve">Say: </w:t>
      </w:r>
      <w:r>
        <w:rPr>
          <w:i/>
          <w:iCs/>
        </w:rPr>
        <w:t xml:space="preserve">Four takeaways, spoken to the panel, not the slide: reward design determines what the agent learns; RL beats weak rules, not strong heuristics; greedy sets a realistic ceiling at 97.4%; CA2 adds grid charging and arbitrage. End with “Questions?” — then stop talking. Let the silence work.</w:t>
      </w:r>
    </w:p>
    <w:p>
      <w:pPr>
        <w:pStyle w:val="Heading1"/>
      </w:pPr>
      <w:r>
        <w:t xml:space="preserve">15-minute Q&amp;A — who answers what</w:t>
      </w:r>
    </w:p>
    <w:p>
      <w:pPr>
        <w:pStyle w:val="Heading2"/>
      </w:pPr>
      <w:r>
        <w:t xml:space="preserve">Member 1 — problem, data, MDP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RL vs supervised / rules? → no labels for optimal actions; rules are myopic; sequential structure (SOC carries value forward).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324 states? → tertile bins × 4 time bins keep an exact, interpretable table; one more bin per feature multiplies the table ~81×.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 pipeline? → Ausgrid GC/GG unpivoted, AEMO NSW1 merged on timezone-aligned timestamps; month-stratified 256/54/53 split, seed 50; DST days dropped.</w:t>
      </w:r>
    </w:p>
    <w:p>
      <w:pPr>
        <w:pStyle w:val="Heading2"/>
      </w:pPr>
      <w:r>
        <w:t xml:space="preserve">Member 2 — algorithms, reward, numbers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Q-Learning update on the board: Q(s,a) ← Q(s,a) + α[r + γ max Q(s′,a′) − Q(s,a)]; SARSA replaces max with the action actually taken.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v1 reward failed → proxy diverged from the bill; agents optimised the wrong objective (Table VI).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Multi-seed: Q-Learning 61.75 ± 2.14, SARSA 61.62 ± 0.86, p = 0.90 — statistically tied; bottleneck is problem structure, not algorithm.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RL doesn’t beat greedy → coarse bins + solar-only charging; greedy captures 97.4% of the oracle gap.</w:t>
      </w:r>
    </w:p>
    <w:p>
      <w:pPr>
        <w:pStyle w:val="Heading2"/>
      </w:pPr>
      <w:r>
        <w:t xml:space="preserve">Member 3 — discussion, demo, limitations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not DQN/PPO? → 324 states: tabular is exact and interpretable; deep RL is for CA2 if the state space grows.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Double Q-Learning → implemented to reduce maximisation bias; a terminal-update bug was found and fixed; not fully retrained — say this before they ask.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Dashboard walkthrough; CA2 plans; ethics/limitations (2012–13 data vs 2026 tariffs; simulation, not deployment advice).</w:t>
      </w:r>
    </w:p>
    <w:p>
      <w:pPr>
        <w:pStyle w:val="Heading2"/>
      </w:pPr>
      <w:r>
        <w:t xml:space="preserve">AI usage (any member)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 4 declared. Answer pattern: “We used [tool] for [task]; I verified it by [test]; one thing it got wrong was [example], which we fixed by [fix].” Keep it specific, not defensive.</w:t>
      </w:r>
    </w:p>
    <w:p>
      <w:pPr>
        <w:pStyle w:val="Heading1"/>
      </w:pPr>
      <w:r>
        <w:t xml:space="preserve">Emergency cuts (if running long)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Slide 3 detail → one sentence: “48-step daily MDP, 324 states, 3 actions, from scratch.”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Slide 6 KPIs → say only the 97.4% line.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Always keep slides 4, 5, and 7 intact — they carry the marks (reward design, results, honest limitations).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453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2026-07-07T14:13:31.883Z</dcterms:created>
  <dcterms:modified xsi:type="dcterms:W3CDTF">2026-07-07T14:13:31.883Z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