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GréineQ CA2 — Speaker Notes</w:t>
      </w:r>
    </w:p>
    <w:p>
      <w:r>
        <w:rPr>
          <w:b/>
        </w:rPr>
        <w:t xml:space="preserve">Synced with PowerPoint Presenter View notes (same wording). </w:t>
      </w:r>
      <w:r>
        <w:t>Brand spelling: GréineQ. Fill in student numbers before submission.</w:t>
      </w:r>
    </w:p>
    <w:p>
      <w:pPr>
        <w:pStyle w:val="Heading1"/>
      </w:pPr>
      <w:r>
        <w:t>Team &amp; slide allocation</w:t>
      </w:r>
    </w:p>
    <w:p>
      <w:pPr>
        <w:pStyle w:val="ListBullet"/>
      </w:pPr>
      <w:r>
        <w:t>Nathan Lucio — [Student No.] — Data &amp; MDP / Twin demo driver</w:t>
      </w:r>
    </w:p>
    <w:p>
      <w:pPr>
        <w:pStyle w:val="ListBullet"/>
      </w:pPr>
      <w:r>
        <w:t>Nadeesha Jayasuriya — [Student No.] — RL experiment / Results narrator</w:t>
      </w:r>
    </w:p>
    <w:p>
      <w:r>
        <w:t>Spoken ownership: Nathan slides 1–3 and 7; Nadeesha slides 4–6 and 8–9. Both answer any Q&amp;A topic.</w:t>
      </w:r>
    </w:p>
    <w:p>
      <w:r>
        <w:t>Live demo: Nathan = driver (mouse only); Nadeesha = narrator; backup operator = the other person if primary fails.</w:t>
      </w:r>
    </w:p>
    <w:p>
      <w:pPr>
        <w:pStyle w:val="Heading1"/>
      </w:pPr>
      <w:r>
        <w:t>Slide 1 — Title</w:t>
      </w:r>
    </w:p>
    <w:p>
      <w:r>
        <w:t>CA1 asked whether RL could beat simple solar self-consumption. CA2 asks whether forward-looking price information helps a tabular agent time grid arbitrage — and we tested that with a deployed digital twin. Nathan introduces the team and problem; Nadeesha owns the experiment narrative.</w:t>
      </w:r>
    </w:p>
    <w:p>
      <w:pPr>
        <w:pStyle w:val="Heading1"/>
      </w:pPr>
      <w:r>
        <w:t>Slide 2 — Problem &amp; CA2 question</w:t>
      </w:r>
    </w:p>
    <w:p>
      <w:r>
        <w:t>Frame the problem: solar self-use is easy with rules; profitable timing needs the future. Our experiment isolates information — not just another algorithm tweak. Emphasise: more actions without matching information can raise the household bill.</w:t>
      </w:r>
    </w:p>
    <w:p>
      <w:pPr>
        <w:pStyle w:val="Heading1"/>
      </w:pPr>
      <w:r>
        <w:t>Slide 3 — MDP — agent, environment, learning</w:t>
      </w:r>
    </w:p>
    <w:p>
      <w:r>
        <w:t>The agent is the battery controller; the environment is the simulated household and grid. Five actions make price actionable. Privileged agents get a three-bin price-direction feature over the next four hours. State grows from 540 to 1620. Reward is negative adjusted electricity cost, including cycling cost and terminal SOC valuation — so Q-Learning maximises reward by minimising cost. Learning uses a Q(s,a) table, ε-greedy exploration in training, and an argmax evaluation policy, with updates controlled by α and γ. Tabular Q-Learning keeps state–action values directly inspectable; deep RL becomes useful if the state space grows substantially.</w:t>
      </w:r>
    </w:p>
    <w:p>
      <w:pPr>
        <w:pStyle w:val="Heading1"/>
      </w:pPr>
      <w:r>
        <w:t>Slide 4 — Experiment design</w:t>
      </w:r>
    </w:p>
    <w:p>
      <w:r>
        <w:t>Fairness is the point: retrain and evaluate everything under wholesale export. Headline numbers use Privileged Q with the true four-hour direction signal — an oracle-style probe of that feature. Realistic climatology + persistence forecasting is available in the deployment and experiment runner, but it is not the source of the 139.68 AUD headline. Do not mix these AUD totals with older fixed-FiT CA2 runs.</w:t>
      </w:r>
    </w:p>
    <w:p>
      <w:pPr>
        <w:pStyle w:val="Heading1"/>
      </w:pPr>
      <w:r>
        <w:t>Slide 5 — Aggregate results</w:t>
      </w:r>
    </w:p>
    <w:p>
      <w:r>
        <w:t>Aggregate results across 53 held-out days. Greedy 90.39 is the best evaluated deployable controller. Current Q about 124; Privileged true-direction about 140. Greedy wins 96% of days. True four-hour direction alone did not help — privileged used arbitrage more and still cost more. The hypothesis was not supported under this experimental setup.</w:t>
      </w:r>
    </w:p>
    <w:p>
      <w:pPr>
        <w:pStyle w:val="Heading1"/>
      </w:pPr>
      <w:r>
        <w:t>Slide 6 — Theory vs deployed</w:t>
      </w:r>
    </w:p>
    <w:p>
      <w:r>
        <w:t>This is the required CA2 theory-versus-deployed story: perfect information sets a lower-cost bound; deployable policies sit above it; a coarse three-bin direction feature did not close the gap. Import pays wholesale plus 0.22 while export pays wholesale, so round-trip sell is hard; profitable foresight is mostly charge cheap then discharge to load.</w:t>
      </w:r>
    </w:p>
    <w:p>
      <w:pPr>
        <w:pStyle w:val="Heading1"/>
      </w:pPr>
      <w:r>
        <w:t>Slide 7 — Working deployment &amp; ethics</w:t>
      </w:r>
    </w:p>
    <w:p>
      <w:r>
        <w:t>The dashboard is the working-deployment mark: Digital Twin, Play vs Agent, curated results, and a live AEMO panel. Ethics is broader than bill harm: transparency of experimental tariff and partial live inputs; privacy and consent for future smart-meter data; fairness of access to batteries and tariffs; generalisability limited to one Ausgrid household and NSW1; safety via SOC and power limits, manual override, and greedy as fallback; and honesty that this is a software twin, not a physical battery. Play vs Agent is an interactive oversight demonstration — not a scientifically fair competition — because the human and privileged agent do not necessarily receive identical foresight.</w:t>
      </w:r>
    </w:p>
    <w:p>
      <w:pPr>
        <w:pStyle w:val="Heading1"/>
      </w:pPr>
      <w:r>
        <w:t>Slide 8 — Limitations &amp; next steps</w:t>
      </w:r>
    </w:p>
    <w:p>
      <w:r>
        <w:t>Be precise, not generic. Limitations: three-bin direction without magnitude; experimental wholesale export; larger privileged table may under-train at 10k episodes; live feed is price-real and meter-partial. Next step targets magnitude or spread foresight — the bottleneck we identified — and keep greedy as a safety baseline until RL beats it on held-out days.</w:t>
      </w:r>
    </w:p>
    <w:p>
      <w:pPr>
        <w:pStyle w:val="Heading1"/>
      </w:pPr>
      <w:r>
        <w:t>Slide 9 — Takeaways</w:t>
      </w:r>
    </w:p>
    <w:p>
      <w:r>
        <w:t>Close in one line: we made arbitrage actionable, tested whether a four-hour three-bin direction feature helps tabular RL, found it does not beat greedy under this setup, and shipped a dashboard that makes that gap visible. Hand to Q&amp;A.</w:t>
      </w:r>
    </w:p>
    <w:p>
      <w:pPr>
        <w:pStyle w:val="Heading1"/>
      </w:pPr>
      <w:r>
        <w:t>Slide 10 — Sources (unpresented)</w:t>
      </w:r>
    </w:p>
    <w:p>
      <w:r>
        <w:t>Sources slide — do not present unless asked. Keep visible only if the panel requests provenance.</w:t>
      </w:r>
    </w:p>
    <w:p>
      <w:pPr>
        <w:pStyle w:val="Heading1"/>
      </w:pPr>
      <w:r>
        <w:t>Key phrases (do say / don’t say)</w:t>
      </w:r>
    </w:p>
    <w:p>
      <w:pPr>
        <w:pStyle w:val="ListBullet"/>
      </w:pPr>
      <w:r>
        <w:t>Say: three-bin price-direction feature — not “bit”.</w:t>
      </w:r>
    </w:p>
    <w:p>
      <w:pPr>
        <w:pStyle w:val="ListBullet"/>
      </w:pPr>
      <w:r>
        <w:t>Say: Privileged Q — true four-hour direction for headline AUD.</w:t>
      </w:r>
    </w:p>
    <w:p>
      <w:pPr>
        <w:pStyle w:val="ListBullet"/>
      </w:pPr>
      <w:r>
        <w:t>Say: realistic forecast mode exists in deployment but is not the headline source.</w:t>
      </w:r>
    </w:p>
    <w:p>
      <w:pPr>
        <w:pStyle w:val="ListBullet"/>
      </w:pPr>
      <w:r>
        <w:t>Say: hypothesis was not supported under this experimental setup.</w:t>
      </w:r>
    </w:p>
    <w:p>
      <w:pPr>
        <w:pStyle w:val="ListBullet"/>
      </w:pPr>
      <w:r>
        <w:t>Say: tabular keeps values inspectable — not “exact forever”.</w:t>
      </w:r>
    </w:p>
    <w:p>
      <w:pPr>
        <w:pStyle w:val="ListBullet"/>
      </w:pPr>
      <w:r>
        <w:t>Avoid mixing wholesale-export AUD with older fixed-FiT CA2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