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pPr>
      <w:r w:rsidDel="00000000" w:rsidR="00000000" w:rsidRPr="00000000">
        <w:rPr>
          <w:rtl w:val="0"/>
        </w:rPr>
      </w:r>
    </w:p>
    <w:p w:rsidR="00000000" w:rsidDel="00000000" w:rsidP="00000000" w:rsidRDefault="00000000" w:rsidRPr="00000000" w14:paraId="00000006">
      <w:pPr>
        <w:pStyle w:val="Title"/>
        <w:jc w:val="cente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Finvest Holdings</w:t>
      </w:r>
    </w:p>
    <w:p w:rsidR="00000000" w:rsidDel="00000000" w:rsidP="00000000" w:rsidRDefault="00000000" w:rsidRPr="00000000" w14:paraId="00000008">
      <w:pPr>
        <w:pStyle w:val="Title"/>
        <w:jc w:val="center"/>
        <w:rPr/>
      </w:pPr>
      <w:r w:rsidDel="00000000" w:rsidR="00000000" w:rsidRPr="00000000">
        <w:rPr>
          <w:rtl w:val="0"/>
        </w:rPr>
        <w:t xml:space="preserve">Security Software &amp;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sz w:val="24"/>
          <w:szCs w:val="24"/>
        </w:rPr>
      </w:pPr>
      <w:r w:rsidDel="00000000" w:rsidR="00000000" w:rsidRPr="00000000">
        <w:rPr>
          <w:sz w:val="24"/>
          <w:szCs w:val="24"/>
          <w:rtl w:val="0"/>
        </w:rPr>
        <w:t xml:space="preserve">SYSC 4810 Assignment</w:t>
      </w:r>
    </w:p>
    <w:p w:rsidR="00000000" w:rsidDel="00000000" w:rsidP="00000000" w:rsidRDefault="00000000" w:rsidRPr="00000000" w14:paraId="0000000B">
      <w:pPr>
        <w:pStyle w:val="Subtitle"/>
        <w:jc w:val="center"/>
        <w:rPr>
          <w:sz w:val="24"/>
          <w:szCs w:val="24"/>
        </w:rPr>
      </w:pPr>
      <w:r w:rsidDel="00000000" w:rsidR="00000000" w:rsidRPr="00000000">
        <w:rPr>
          <w:sz w:val="24"/>
          <w:szCs w:val="24"/>
          <w:rtl w:val="0"/>
        </w:rPr>
        <w:t xml:space="preserve">Nathan MacDiarmid</w:t>
      </w:r>
    </w:p>
    <w:p w:rsidR="00000000" w:rsidDel="00000000" w:rsidP="00000000" w:rsidRDefault="00000000" w:rsidRPr="00000000" w14:paraId="0000000C">
      <w:pPr>
        <w:pStyle w:val="Subtitle"/>
        <w:jc w:val="center"/>
        <w:rPr/>
      </w:pPr>
      <w:r w:rsidDel="00000000" w:rsidR="00000000" w:rsidRPr="00000000">
        <w:rPr>
          <w:rtl w:val="0"/>
        </w:rPr>
        <w:t xml:space="preserve">101098993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jc w:val="center"/>
        <w:rPr>
          <w:sz w:val="24"/>
          <w:szCs w:val="24"/>
        </w:rPr>
      </w:pPr>
      <w:r w:rsidDel="00000000" w:rsidR="00000000" w:rsidRPr="00000000">
        <w:rPr>
          <w:sz w:val="24"/>
          <w:szCs w:val="24"/>
          <w:rtl w:val="0"/>
        </w:rPr>
        <w:t xml:space="preserve">December 4</w:t>
      </w:r>
      <w:r w:rsidDel="00000000" w:rsidR="00000000" w:rsidRPr="00000000">
        <w:rPr>
          <w:sz w:val="24"/>
          <w:szCs w:val="24"/>
          <w:vertAlign w:val="superscript"/>
          <w:rtl w:val="0"/>
        </w:rPr>
        <w:t xml:space="preserve">th</w:t>
      </w:r>
      <w:r w:rsidDel="00000000" w:rsidR="00000000" w:rsidRPr="00000000">
        <w:rPr>
          <w:sz w:val="24"/>
          <w:szCs w:val="24"/>
          <w:rtl w:val="0"/>
        </w:rPr>
        <w:t xml:space="preserve">, 2023</w:t>
      </w:r>
    </w:p>
    <w:p w:rsidR="00000000" w:rsidDel="00000000" w:rsidP="00000000" w:rsidRDefault="00000000" w:rsidRPr="00000000" w14:paraId="00000019">
      <w:pPr>
        <w:pStyle w:val="Heading1"/>
        <w:rPr/>
      </w:pPr>
      <w:r w:rsidDel="00000000" w:rsidR="00000000" w:rsidRPr="00000000">
        <w:rPr>
          <w:rtl w:val="0"/>
        </w:rPr>
        <w:t xml:space="preserve">Problem 1</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access control model that the Finvest Holdings security system will be the RBAC control model. This is because RBAC sets permissions based on roles which is similar to what is described in Part 1 Section 2 – Context. RBAC also allows for the expandability of permissions via additions of different roles, making it very scalable.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access control representation that the Finvest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drawing>
          <wp:inline distB="114300" distT="114300" distL="114300" distR="114300">
            <wp:extent cx="5367338" cy="16287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7338"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References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https://www.linkedin.com/pulse/comprehensive-overview-access-control-models-rbac-abac-jay-/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4630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F612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F6F2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F6F2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F6F2F"/>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BF6F2F"/>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94630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F6124"/>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355562"/>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Rtol/HoiToaJnfKe5AOLL3oxAw==">AMUW2mV0pdFIBDbISP8z8bRz+Ev6l1X+2XKqwH31yV/EFtntginQo2MP5RLD0+hpFK4dmfQ3AxSaql6TEIAifXhP1c9DPMm8BqFT7So8pU5AylgXW9jT0HE=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2023-11-06T19:06:00Z</dcterms:created>
  <dc:creator>Nathan MacDiarmid</dc:creator>
</cp:coreProperties>
</file>