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ui1i4fy849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Communication Plan – Rooming Workflow Optimization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Rooming Workflow Optimization</w:t>
        <w:br w:type="textWrapping"/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Optum Primary Care</w:t>
        <w:br w:type="textWrapping"/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outline how information will be communicated to stakeholders during the project lifecycle.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Communication Matrix: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39.28026172301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57.709923664122"/>
        <w:gridCol w:w="1132.998909487459"/>
        <w:gridCol w:w="1612.7371864776444"/>
        <w:gridCol w:w="1347.3500545256272"/>
        <w:gridCol w:w="2388.484187568157"/>
        <w:tblGridChange w:id="0">
          <w:tblGrid>
            <w:gridCol w:w="1857.709923664122"/>
            <w:gridCol w:w="1132.998909487459"/>
            <w:gridCol w:w="1612.7371864776444"/>
            <w:gridCol w:w="1347.3500545256272"/>
            <w:gridCol w:w="2388.48418756815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6" w:val="single"/>
              <w:left w:color="284e3f" w:space="0" w:sz="6" w:val="single"/>
              <w:bottom w:color="000000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bottom w:color="000000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bottom w:color="000000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Communication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bottom w:color="000000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bottom w:color="000000" w:space="0" w:sz="6" w:val="single"/>
              <w:right w:color="284e3f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16"/>
                <w:szCs w:val="16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Jamie Grell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Email, Meetings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Weekly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updates, decisions, and approvals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Dr. Sidhu / Dr. Novak / Dr. Klatt / Aarthi (PA)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Email, In-person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Biweekly or As Needed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feedback on workflow changes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Tatiana, Kim, Scott, Liz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Medical Assistants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Daily Huddles, In-person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Weekly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Training, process updates, and feedback loop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Alex Johnson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 Project Milestones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Informational only; no daily involvement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pkyrkmnmr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Most communication was done informally via emails and in-person huddles.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Weekly updates were used to maintain alignment with providers and medical assistants.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Major decisions and changes were shared via email and documented in project summaries or the training manual.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Provider input delays required follow-ups and additional reminders to maintain the timeline.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