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 — INTRODUÇÃO</w:t>
      </w:r>
    </w:p>
    <w:p>
      <w:pPr>
        <w:pStyle w:val="Heading2"/>
      </w:pPr>
      <w:r>
        <w:t>1.1 Motivação</w:t>
      </w:r>
    </w:p>
    <w:p>
      <w:pPr/>
      <w:r>
        <w:t>O crescimento acelerado do comércio eletrônico nas últimas décadas tem produzido volumes massivos de dados transacionais — pedidos, clientes, produtos, pagamentos e interações — que representam um ativo estratégico para a tomada de decisão empresarial. De acordo com Armbrust et al. (2021), a capacidade de armazenar, processar e analisar grandes volumes de dados de forma eficiente tornou-se um diferencial competitivo fundamental para organizações orientadas a dados. Nesse contexto, arquiteturas de dados modernas surgem como resposta à crescente demanda por análises ágeis e de baixo custo operacional.</w:t>
      </w:r>
    </w:p>
    <w:p>
      <w:pPr/>
      <w:r>
        <w:t>Historicamente, os Data Warehouses (DW) tradicionais, fundamentados nas propostas de Inmon (2002) e Kimball e Ross (2013), consolidaram-se como a principal solução para armazenamento e análise de dados estruturados em ambientes corporativos. Essas arquiteturas, no entanto, foram concebidas em um contexto tecnológico distinto do atual, no qual o volume, a variedade e a velocidade dos dados eram substancialmente menores. Com o advento do Big Data, caracterizado por Laney (2001) pelas dimensões de volume, velocidade e variedade, os Data Warehouses tradicionais passaram a apresentar limitações estruturais significativas: dependência de infraestrutura proprietária de alto custo, esquemas de dados rígidos definidos no momento da ingestão (schema-on-write) e escalabilidade predominantemente vertical (INMON, 2002).</w:t>
      </w:r>
    </w:p>
    <w:p>
      <w:pPr/>
      <w:r>
        <w:t>Embora soluções modernas de Data Warehouse em nuvem, como Snowflake, Google BigQuery e Amazon Redshift, tenham mitigado parte dessas limitações — especialmente no que se refere à escalabilidade elástica e ao modelo de custo por uso —, elas introduzem novas dependências de fornecedores (vendor lock-in), custos elevados para armazenamento de dados brutos e semiestruturados, e dificuldades de integração com fluxos de aprendizado de máquina e processamento em tempo real (STONEBRAKER; ÇETINTEMEL, 2005; ZAHARIA et al., 2016). Drechsler e Sauer (2023) observam que, mesmo em ambientes de nuvem, o custo total de propriedade de soluções de Data Warehouse tende a ser elevado para organizações de pequeno e médio porte quando os dados crescem exponencialmente.</w:t>
      </w:r>
    </w:p>
    <w:p>
      <w:pPr/>
      <w:r>
        <w:t>Diante dessas limitações, o conceito de Data Lake emergiu como alternativa, propondo o armazenamento de dados em formato bruto e em escala massiva a baixo custo. Contudo, estudos demonstram que Data Lakes sem governança adequada degeneram em repositórios de dados não gerenciados, sem qualidade garantida e de difícil consumo analítico — fenômeno conhecido como pântano de dados (data swamp) (FANG, 2015). A arquitetura Lakehouse, proposta por Armbrust et al. (2021), surge precisamente para endereçar essa dualidade, combinando a flexibilidade e o baixo custo de armazenamento dos Data Lakes com as garantias de qualidade, transacionalidade e desempenho analítico dos Data Warehouses.</w:t>
      </w:r>
    </w:p>
    <w:p>
      <w:pPr/>
      <w:r>
        <w:t>A relevância acadêmica do tema é reforçada pela escassez de estudos aplicados que demonstrem, de forma prática e mensurável, a implementação de arquiteturas Lakehouse voltadas ao domínio do comércio eletrônico. Embora trabalhos teóricos e implementações corporativas sejam documentados na literatura técnica (ZAHARIA et al., 2021; DATABRICKS, 2023), poucos trabalhos acadêmicos apresentam pipelines completos com validação empírica da qualidade analítica em cenários de e-commerce — lacuna que este trabalho se propõe a preencher.</w:t>
      </w:r>
    </w:p>
    <w:p>
      <w:pPr/>
      <w:r>
        <w:t>Diante desse cenário, o presente trabalho propõe a implementação de uma arquitetura Lakehouse estruturada em camadas Bronze, Silver e Gold, utilizando tecnologias abertas como Apache Spark e Delta Lake, aplicada a dados simulados de e-commerce. A proposta visa demonstrar que essa abordagem constitui uma alternativa viável, escalável e de baixo custo frente às soluções tradicionais de Data Warehouse, mantendo qualidade analítica adequada para a geração de indicadores de negócio. Os principais beneficiados são estudantes, pesquisadores e profissionais da área de Sistemas de Informação que buscam referências práticas sobre arquiteturas modernas de dados.</w:t>
      </w:r>
    </w:p>
    <w:p>
      <w:pPr>
        <w:pStyle w:val="Heading2"/>
      </w:pPr>
      <w:r>
        <w:t>1.2 Problema de Pesquisa</w:t>
      </w:r>
    </w:p>
    <w:p>
      <w:pPr/>
      <w:r>
        <w:t>Em que medida uma arquitetura Lakehouse com camadas Bronze, Silver e Gold, implementada com tecnologias abertas, é capaz de atender às demandas de escalabilidade e custo-benefício para análise de dados de e-commerce, mantendo nível de qualidade analítica comparável ao oferecido por soluções de Data Warehouse para a geração de indicadores de negócio?</w:t>
      </w:r>
    </w:p>
    <w:p>
      <w:pPr>
        <w:pStyle w:val="Heading2"/>
      </w:pPr>
      <w:r>
        <w:t>1.3 Hipótese</w:t>
      </w:r>
    </w:p>
    <w:p>
      <w:pPr/>
      <w:r>
        <w:t>A hipótese deste trabalho é que a arquitetura Lakehouse, implementada com Apache Spark e Delta Lake em camadas Bronze, Silver e Gold, oferece melhor relação custo-benefício e escalabilidade horizontal em comparação ao modelo tradicional de Data Warehouse, mantendo qualidade analítica equivalente — medida por métricas de completude, consistência e latência de processamento — para a geração de indicadores de negócio em cenários de e-commerce.</w:t>
      </w:r>
    </w:p>
    <w:p>
      <w:pPr>
        <w:pStyle w:val="Heading2"/>
      </w:pPr>
      <w:r>
        <w:t>1.4 Objetivos</w:t>
      </w:r>
    </w:p>
    <w:p>
      <w:pPr/>
      <w:r>
        <w:t>O objetivo geral deste trabalho é implementar uma arquitetura Lakehouse com camadas Bronze, Silver e Gold para análise de dados de e-commerce, avaliando sua viabilidade como alternativa escalável e de baixo custo frente ao Data Warehouse tradicional.</w:t>
      </w:r>
    </w:p>
    <w:p>
      <w:pPr/>
      <w:r>
        <w:t>Para alcançar o objetivo geral, definem-se os seguintes objetivos específicos:</w:t>
      </w:r>
    </w:p>
    <w:p>
      <w:pPr>
        <w:pStyle w:val="ListBullet"/>
      </w:pPr>
      <w:r>
        <w:t>Analisar as limitações dos Data Warehouses tradicionais e modernos no contexto de e-commerce, considerando aspectos de custo, escalabilidade, flexibilidade de esquema e dependência de fornecedor, com base em revisão teórica comparativa.</w:t>
      </w:r>
    </w:p>
    <w:p>
      <w:pPr>
        <w:pStyle w:val="ListBullet"/>
      </w:pPr>
      <w:r>
        <w:t>Projetar o modelo dimensional Star Schema para suporte à análise de indicadores de vendas, clientes e produtos na camada Gold da arquitetura, definindo tabelas fato e dimensões alinhadas aos requisitos analíticos do domínio de e-commerce.</w:t>
      </w:r>
    </w:p>
    <w:p>
      <w:pPr>
        <w:pStyle w:val="ListBullet"/>
      </w:pPr>
      <w:r>
        <w:t>Implementar o pipeline de dados nas camadas Bronze, Silver e Gold utilizando Apache Spark e Delta Lake, com ingestão a partir de uma API simulada de e-commerce, garantindo rastreabilidade, versionamento e qualidade dos dados em cada etapa.</w:t>
      </w:r>
    </w:p>
    <w:p>
      <w:pPr>
        <w:pStyle w:val="ListBullet"/>
      </w:pPr>
      <w:r>
        <w:t>Avaliar a arquitetura proposta por meio de métricas objetivas de qualidade analítica — incluindo completude dos dados, consistência entre camadas, tempo de processamento e latência de consulta — comparando os resultados, em termos conceituais e empíricos, com os critérios de qualidade esperados em soluções de Data Warehouse, utilizando painéis interativos no Power BI como instrumento de validação.</w:t>
      </w:r>
    </w:p>
    <w:p>
      <w:pPr>
        <w:pStyle w:val="Heading2"/>
      </w:pPr>
      <w:r>
        <w:t>1.5 Organização do Trabalho</w:t>
      </w:r>
    </w:p>
    <w:p>
      <w:pPr/>
      <w:r>
        <w:t>Este trabalho está estruturado em cinco capítulos, organizados de forma a conduzir o leitor desde a fundamentação teórica até os resultados e conclusões da pesquisa.</w:t>
      </w:r>
    </w:p>
    <w:p>
      <w:pPr/>
      <w:r>
        <w:t>O Capítulo 1 apresenta a introdução, compreendendo a motivação do trabalho, o problema de pesquisa, a hipótese formulada, os objetivos geral e específicos e a organização do documento.</w:t>
      </w:r>
    </w:p>
    <w:p>
      <w:pPr/>
      <w:r>
        <w:t>O Capítulo 2 desenvolve o referencial teórico, abordando os fundamentos de Big Data, as arquiteturas de armazenamento e processamento de dados (Data Warehouse, Data Lake e Lakehouse), os princípios de Engenharia de Dados, a modelagem dimensional e a qualidade de dados, além das principais ferramentas tecnológicas utilizadas no projeto.</w:t>
      </w:r>
    </w:p>
    <w:p>
      <w:pPr/>
      <w:r>
        <w:t>O Capítulo 3 descreve a metodologia adotada, incluindo o planejamento do pipeline de dados, a estratégia de implementação das camadas Bronze, Silver e Gold e o protocolo de avaliação da qualidade analítica.</w:t>
      </w:r>
    </w:p>
    <w:p>
      <w:pPr/>
      <w:r>
        <w:t>O Capítulo 4 apresenta os resultados obtidos com a implementação da arquitetura Lakehouse, incluindo a análise do pipeline de dados, a validação dos indicadores de negócio gerados no Power BI e a comparação com os critérios de qualidade do Data Warehouse tradicional.</w:t>
      </w:r>
    </w:p>
    <w:p>
      <w:pPr/>
      <w:r>
        <w:t>O Capítulo 5 apresenta as conclusões do trabalho, respondendo à hipótese formulada, discutindo as limitações da pesquisa e apontando direções para trabalhos futuros.</w:t>
      </w:r>
    </w:p>
    <w:p>
      <w:pPr>
        <w:pStyle w:val="Heading1"/>
      </w:pPr>
      <w:r>
        <w:t>CAPÍTULO 2 — REFERENCIAL TEÓRICO</w:t>
      </w:r>
    </w:p>
    <w:p>
      <w:pPr>
        <w:pStyle w:val="Heading2"/>
      </w:pPr>
      <w:r>
        <w:t>2.1 Big Data: Conceito e Características</w:t>
      </w:r>
    </w:p>
    <w:p>
      <w:pPr/>
      <w:r>
        <w:t>O termo Big Data designa conjuntos de dados cuja dimensão, complexidade e velocidade de geração superam a capacidade dos sistemas de gerenciamento de dados convencionais para captura, armazenamento, gestão e análise (CHEN; MAO; LIU, 2014). A popularização do conceito remonta ao trabalho de Laney (2001), que caracterizou o fenômeno por três dimensões fundamentais — volume, velocidade e variedade —, modelo posteriormente expandido para incluir veracidade e valor, compondo o que a literatura denomina os cinco Vs do Big Data.</w:t>
      </w:r>
    </w:p>
    <w:p>
      <w:pPr/>
      <w:r>
        <w:t>O volume refere-se à quantidade massiva de dados gerados continuamente por dispositivos, transações e interações digitais. A velocidade diz respeito à taxa de geração e ao tempo exigido para processamento e resposta. A variedade abrange a multiplicidade de formatos e fontes, incluindo dados estruturados, semiestruturados (JSON, XML) e não estruturados (imagens, vídeos, texto livre). A veracidade concerne à incerteza e à qualidade inerente aos dados em grande escala, enquanto o valor refere-se à capacidade de extrair inteligência útil para a tomada de decisão organizacional (CHEN; MAO; LIU, 2014).</w:t>
      </w:r>
    </w:p>
    <w:p>
      <w:pPr/>
      <w:r>
        <w:t>No contexto do comércio eletrônico, todas essas dimensões se manifestam de forma intensa: plataformas digitais geram milhões de eventos diários — cliques, pedidos, avaliações, interações em tempo real — provenientes de múltiplas fontes heterogêneas, exigindo infraestruturas de dados capazes de ingerir, armazenar e processar esse fluxo contínuo com baixa latência e alta confiabilidade (ARMBRUST et al., 2021).</w:t>
      </w:r>
    </w:p>
    <w:p>
      <w:pPr>
        <w:pStyle w:val="Heading2"/>
      </w:pPr>
      <w:r>
        <w:t>2.2 Arquiteturas de Armazenamento e Processamento de Dados</w:t>
      </w:r>
    </w:p>
    <w:p>
      <w:pPr>
        <w:pStyle w:val="Heading3"/>
      </w:pPr>
      <w:r>
        <w:t>2.2.1 Data Warehouse</w:t>
      </w:r>
    </w:p>
    <w:p>
      <w:pPr/>
      <w:r>
        <w:t>O Data Warehouse (Armazém de Dados) é definido por Inmon (2002) como um conjunto de dados orientado por assunto, integrado, variante no tempo e não volátil, projetado para suporte à tomada de decisão gerencial. Nessa abordagem, os dados são extraídos de sistemas transacionais, transformados para um formato padronizado e carregados em um repositório centralizado — processo denominado ETL (Extração, Transformação e Carga).</w:t>
      </w:r>
    </w:p>
    <w:p>
      <w:pPr/>
      <w:r>
        <w:t>A modelagem de dados no Data Warehouse é fundamentada nos princípios de Kimball e Ross (2013), que propõem a organização dos dados em esquemas dimensionais — notadamente o Star Schema (Esquema Estrela) e o Snowflake Schema —, estruturas otimizadas para consultas analíticas de alto desempenho. O Star Schema organiza os dados em uma tabela fato central, que registra métricas de negócio mensuráveis, circundada por tabelas dimensão que fornecem contexto descritivo às métricas (KIMBALL; ROSS, 2013).</w:t>
      </w:r>
    </w:p>
    <w:p>
      <w:pPr/>
      <w:r>
        <w:t>Os Data Warehouses tradicionais apresentam vantagens reconhecidas: garantias de qualidade e consistência dos dados, desempenho elevado em consultas analíticas e maturidade tecnológica consolidada. Contudo, suas limitações tornam-se evidentes em cenários de Big Data: o esquema rígido definido na ingestão dificulta a adaptação a novas fontes de dados, a escalabilidade predominantemente vertical impõe custos crescentes, e a separação entre dados brutos e processados cria silos que dificultam a rastreabilidade (INMON, 2002; STONEBRAKER; ÇETINTEMEL, 2005).</w:t>
      </w:r>
    </w:p>
    <w:p>
      <w:pPr/>
      <w:r>
        <w:t>Soluções modernas de Data Warehouse em nuvem — como Snowflake, Google BigQuery e Amazon Redshift — mitigaram parte dessas limitações por meio de escalabilidade elástica e modelos de custo por uso. No entanto, introduzem dependência de fornecedor, custos significativos para armazenamento de dados brutos e semiestruturados, e integração limitada com fluxos de aprendizado de máquina e processamento em tempo real (DRECHSLER; SAUER, 2023).</w:t>
      </w:r>
    </w:p>
    <w:p>
      <w:pPr>
        <w:pStyle w:val="Heading3"/>
      </w:pPr>
      <w:r>
        <w:t>2.2.2 Data Lake</w:t>
      </w:r>
    </w:p>
    <w:p>
      <w:pPr/>
      <w:r>
        <w:t>O Data Lake (Lago de Dados) surgiu como resposta às limitações dos Data Warehouses tradicionais diante da explosão de volumes e variedades de dados. Conceitualmente, é um repositório centralizado que armazena dados em seu formato nativo e bruto — estruturados, semiestruturados e não estruturados —, sem a necessidade de definição de esquema no momento da ingestão. Essa abordagem, denominada schema-on-read, posterga a definição da estrutura para o momento do consumo, conferindo máxima flexibilidade (FANG, 2015).</w:t>
      </w:r>
    </w:p>
    <w:p>
      <w:pPr/>
      <w:r>
        <w:t>As principais vantagens do Data Lake incluem o custo reduzido de armazenamento em sistemas de arquivos distribuídos, a capacidade de preservar dados brutos para reprocessamento futuro e a flexibilidade para acomodar diferentes tipos de carga analítica, incluindo processamento em lote, em tempo real e aprendizado de máquina. Entretanto, sem governança, processos de qualidade e controle de acesso adequados, os Data Lakes tendem a se degradar em repositórios de dados desorganizados, sem catalogação e de difícil consumo analítico — fenômeno conhecido como pântano de dados. Essa deterioração decorre da ausência de garantias transacionais, da falta de versionamento e da dificuldade em aplicar atualizações e exclusões em arquivos imutáveis (FANG, 2015; ZAHARIA et al., 2021).</w:t>
      </w:r>
    </w:p>
    <w:p>
      <w:pPr>
        <w:pStyle w:val="Heading3"/>
      </w:pPr>
      <w:r>
        <w:t>2.2.3 Arquitetura Lakehouse</w:t>
      </w:r>
    </w:p>
    <w:p>
      <w:pPr/>
      <w:r>
        <w:t>A arquitetura Lakehouse, formalizada por Armbrust et al. (2021) em pesquisa do grupo Databricks, representa uma convergência das abordagens de Data Warehouse e Data Lake, propondo um paradigma unificado que preserva as vantagens de ambos os modelos enquanto supera suas limitações individuais.</w:t>
      </w:r>
    </w:p>
    <w:p>
      <w:pPr/>
      <w:r>
        <w:t>O Lakehouse é caracterizado por três elementos fundamentais (ARMBRUST et al., 2021): (i) armazenamento aberto e econômico, com dados em formatos abertos como Parquet armazenados em sistemas de baixo custo, eliminando dependência de formatos proprietários; (ii) camada de metadados transacional, que implementa suporte a transações ACID sobre os arquivos de dados, habilitando operações de atualização e controle de concorrência; e (iii) desempenho analítico de nível comparável ao Data Warehouse, por meio de técnicas como indexação, compactação de arquivos, cache e estatísticas de dados.</w:t>
      </w:r>
    </w:p>
    <w:p>
      <w:pPr/>
      <w:r>
        <w:t>Essa arquitetura possibilita a unificação do ciclo de vida dos dados — desde a ingestão bruta até a análise avançada e o aprendizado de máquina —, reduzindo redundâncias, custos operacionais e inconsistências decorrentes da movimentação de dados entre sistemas distintos (ARMBRUST et al., 2021).</w:t>
      </w:r>
    </w:p>
    <w:p>
      <w:pPr>
        <w:pStyle w:val="Heading2"/>
      </w:pPr>
      <w:r>
        <w:t>2.3 Arquitetura em Camadas: Bronze, Silver e Gold</w:t>
      </w:r>
    </w:p>
    <w:p>
      <w:pPr/>
      <w:r>
        <w:t>A organização dos dados em camadas é um padrão arquitetural amplamente adotado em implementações de Lakehouse e Engenharia de Dados moderna. O modelo de três camadas — Bronze, Silver e Gold —, popularizado pela Databricks (2023), estrutura o fluxo de dados de acordo com seu grau de refinamento e propósito de uso.</w:t>
      </w:r>
    </w:p>
    <w:p>
      <w:pPr/>
      <w:r>
        <w:t>A camada Bronze recebe os dados em seu estado bruto, diretamente das fontes de origem, sem transformações. Seu propósito é preservar o histórico completo dos dados ingeridos, garantindo rastreabilidade e a possibilidade de reprocessamento a partir do ponto de origem. Os dados nessa camada são armazenados no formato original ou convertidos para formatos eficientes como Parquet, mas sem aplicação de regras de negócio ou limpeza.</w:t>
      </w:r>
    </w:p>
    <w:p>
      <w:pPr/>
      <w:r>
        <w:t>A camada Silver representa a fase de refinamento dos dados. Nela são aplicados processos de limpeza, padronização de formatos, remoção de duplicatas, validação de integridade referencial e enriquecimento com informações complementares. O resultado é um conjunto de dados confiável, consistente e pronto para consumo por diferentes fluxos analíticos ou de aprendizado de máquina.</w:t>
      </w:r>
    </w:p>
    <w:p>
      <w:pPr/>
      <w:r>
        <w:t>A camada Gold é a camada analítica da arquitetura. Os dados, já tratados e validados, são organizados em modelos dimensionais otimizados para consulta — tipicamente no formato Star Schema —, com foco na geração de indicadores de negócio e na alimentação de ferramentas de visualização e relatórios (DATABRICKS, 2023; KIMBALL; ROSS, 2013). Essa separação em camadas promove isolamento de falhas, controle de qualidade progressivo, rastreabilidade completa do ciclo de vida do dado e flexibilidade para que diferentes equipes consumam os dados no nível de refinamento adequado às suas necessidades.</w:t>
      </w:r>
    </w:p>
    <w:p>
      <w:pPr>
        <w:pStyle w:val="Heading2"/>
      </w:pPr>
      <w:r>
        <w:t>2.4 Engenharia de Dados e Pipelines de Transformação</w:t>
      </w:r>
    </w:p>
    <w:p>
      <w:pPr/>
      <w:r>
        <w:t>A Engenharia de Dados é a disciplina responsável pelo projeto, construção e manutenção de infraestruturas e pipelines que permitem a coleta, o armazenamento, o processamento e a disponibilização de dados para consumo analítico e científico (VASSILIADIS, 2009). No contexto de arquiteturas modernas, dois paradigmas de transformação de dados se destacam: ETL e ELT.</w:t>
      </w:r>
    </w:p>
    <w:p>
      <w:pPr/>
      <w:r>
        <w:t>No modelo tradicional ETL (Extração, Transformação e Carga), os dados são extraídos das fontes, transformados em um ambiente intermediário e somente então carregados no destino analítico. Esse modelo é adequado quando o sistema de destino tem capacidade de armazenamento limitada ou quando a transformação requer lógica complexa que não pode ser executada no ambiente de destino.</w:t>
      </w:r>
    </w:p>
    <w:p>
      <w:pPr/>
      <w:r>
        <w:t>No modelo ELT (Extração, Carga e Transformação), predominante em arquiteturas modernas de Big Data, os dados são primeiramente carregados no sistema de destino em seu formato bruto e transformados posteriormente, aproveitando a capacidade de processamento distribuído do próprio ambiente analítico (VASSILIADIS, 2009). Esse modelo é natural na arquitetura Lakehouse, onde a camada Bronze recebe os dados brutos e as transformações são aplicadas progressivamente nas camadas Silver e Gold.</w:t>
      </w:r>
    </w:p>
    <w:p>
      <w:pPr>
        <w:pStyle w:val="Heading2"/>
      </w:pPr>
      <w:r>
        <w:t>2.5 Modelagem Dimensional</w:t>
      </w:r>
    </w:p>
    <w:p>
      <w:pPr/>
      <w:r>
        <w:t>A modelagem dimensional é uma técnica de projeto de banco de dados voltada para sistemas de suporte à decisão, desenvolvida por Ralph Kimball e sistematizada em Kimball e Ross (2013). Seu objetivo é organizar os dados de forma intuitiva para usuários de negócio e otimizada para ferramentas de consulta analítica — denominadas OLAP (Processamento Analítico Online).</w:t>
      </w:r>
    </w:p>
    <w:p>
      <w:pPr/>
      <w:r>
        <w:t>Os dois elementos fundamentais da modelagem dimensional são: a tabela fato, que registra eventos ou transações de negócio mensuráveis — como vendas, pedidos e pagamentos —, contendo métricas numéricas e chaves estrangeiras que referenciam as tabelas dimensão; e as tabelas dimensão, que fornecem o contexto descritivo para os fatos, respondendo às perguntas quem, o quê, quando e onde. Exemplos típicos incluem as dimensões de Cliente, Produto, Tempo e Localização.</w:t>
      </w:r>
    </w:p>
    <w:p>
      <w:pPr/>
      <w:r>
        <w:t>O Star Schema (Esquema Estrela) é o esquema dimensional mais utilizado, no qual a tabela fato central é diretamente conectada às tabelas dimensão por meio de chaves, formando uma estrutura que se assemelha a uma estrela. Essa simplicidade estrutural facilita a compreensão pelos usuários de negócio e maximiza o desempenho das consultas analíticas (KIMBALL; ROSS, 2013). No contexto deste trabalho, a camada Gold da arquitetura Lakehouse implementará um Star Schema com tabela fato de vendas e dimensões de cliente, produto, tempo e categoria.</w:t>
      </w:r>
    </w:p>
    <w:p>
      <w:pPr>
        <w:pStyle w:val="Heading2"/>
      </w:pPr>
      <w:r>
        <w:t>2.6 Qualidade de Dados</w:t>
      </w:r>
    </w:p>
    <w:p>
      <w:pPr/>
      <w:r>
        <w:t>A qualidade de dados é um atributo multidimensional que reflete o grau em que um conjunto de dados atende aos requisitos de uso para os quais foi coletado ou produzido. Vassiliadis (2009) identifica as principais dimensões de qualidade relevantes para sistemas analíticos: completude, que corresponde à proporção de valores preenchidos em relação aos esperados; consistência, que representa a ausência de contradições entre registros; acurácia, que denota a conformidade dos valores com a realidade representada; unicidade, definida pela ausência de registros duplicados; e pontualidade, que expressa a disponibilidade dos dados no momento em que são necessários.</w:t>
      </w:r>
    </w:p>
    <w:p>
      <w:pPr/>
      <w:r>
        <w:t>Em arquiteturas Lakehouse, a qualidade de dados é gerenciada progressivamente entre as camadas: na camada Bronze, os dados são ingeridos sem filtros, preservando o histórico; na camada Silver, são aplicadas regras de validação e limpeza; na camada Gold, os dados atendem a um padrão de qualidade estabelecido para consumo analítico (DATABRICKS, 2023). Essa abordagem garante que os indicadores de negócio gerados na camada Gold sejam baseados em dados confiáveis e auditáveis. Neste trabalho, a avaliação da qualidade analítica utilizará métricas de completude, consistência e latência de processamento como critérios de comparação com soluções de Data Warehouse.</w:t>
      </w:r>
    </w:p>
    <w:p>
      <w:pPr>
        <w:pStyle w:val="Heading2"/>
      </w:pPr>
      <w:r>
        <w:t>2.7 Ferramentas e Tecnologias</w:t>
      </w:r>
    </w:p>
    <w:p>
      <w:pPr>
        <w:pStyle w:val="Heading3"/>
      </w:pPr>
      <w:r>
        <w:t>2.7.1 Apache Spark</w:t>
      </w:r>
    </w:p>
    <w:p>
      <w:pPr/>
      <w:r>
        <w:t>O Apache Spark é um arcabouço de processamento distribuído de dados em larga escala, originalmente desenvolvido na Universidade da Califórnia em Berkeley e posteriormente incorporado à Apache Software Foundation. Zaharia et al. (2016) descrevem o Spark como um motor unificado para processamento de Big Data, capaz de executar cargas de trabalho em lote, em tempo real (streaming), consultas SQL, aprendizado de máquina e processamento de grafos por meio de uma interface de programação unificada.</w:t>
      </w:r>
    </w:p>
    <w:p>
      <w:pPr/>
      <w:r>
        <w:t>Sua principal vantagem em relação ao modelo MapReduce é o processamento em memória, que reduz drasticamente a latência em cargas de trabalho iterativas e interativas (ZAHARIA et al., 2016). No contexto da arquitetura Lakehouse proposta neste trabalho, o Apache Spark é a principal ferramenta de transformação utilizada para processar dados entre as camadas Bronze, Silver e Gold, aproveitando sua capacidade de escalonamento horizontal e integração nativa com o Delta Lake.</w:t>
      </w:r>
    </w:p>
    <w:p>
      <w:pPr>
        <w:pStyle w:val="Heading3"/>
      </w:pPr>
      <w:r>
        <w:t>2.7.2 Delta Lake</w:t>
      </w:r>
    </w:p>
    <w:p>
      <w:pPr/>
      <w:r>
        <w:t>O Delta Lake é uma camada de armazenamento de código aberto desenvolvida pela Databricks que adiciona garantias transacionais ACID ao armazenamento de dados em arquivos Parquet. Zaharia et al. (2021) descrevem o Delta Lake como uma solução que resolve os principais desafios do Data Lake tradicional: ausência de transações, inconsistência em leituras concorrentes, dificuldade de atualizações e exclusões, e falta de versionamento.</w:t>
      </w:r>
    </w:p>
    <w:p>
      <w:pPr/>
      <w:r>
        <w:t>As principais funcionalidades do Delta Lake incluem: transações ACID, que garantem atomicidade, consistência, isolamento e durabilidade das operações; viagem no tempo (time travel), que permite acessar versões históricas dos dados por meio de instantâneos, habilitando auditoria e reprodutibilidade; e aplicação e evolução de esquema, que valida automaticamente a conformidade do esquema na escrita e permite sua evolução controlada ao longo do tempo (ZAHARIA et al., 2021).</w:t>
      </w:r>
    </w:p>
    <w:p>
      <w:pPr>
        <w:pStyle w:val="Heading3"/>
      </w:pPr>
      <w:r>
        <w:t>2.7.3 Microsoft Power BI</w:t>
      </w:r>
    </w:p>
    <w:p>
      <w:pPr/>
      <w:r>
        <w:t>O Microsoft Power BI é uma plataforma de Inteligência de Negócios voltada para a criação de relatórios e painéis interativos. No contexto da arquitetura Lakehouse, o Power BI atua como camada de consumo da camada Gold, transformando os dados modelados dimensionalmente em visualizações acessíveis a usuários de negócio (MICROSOFT, 2023). Sua integração com fontes de dados baseadas em Parquet e Delta Lake torna-o uma escolha adequada para validação dos indicadores analíticos gerados pelo pipeline proposto neste trabalho.</w:t>
      </w:r>
    </w:p>
    <w:p>
      <w:pPr>
        <w:pStyle w:val="Heading1"/>
      </w:pPr>
      <w:r>
        <w:t>REFERÊNCIAS BIBLIOGRÁFICAS</w:t>
      </w:r>
    </w:p>
    <w:p>
      <w:pPr/>
      <w:r>
        <w:rPr>
          <w:b/>
        </w:rPr>
        <w:t xml:space="preserve">ARMBRUST, Michael et al. </w:t>
      </w:r>
      <w:r>
        <w:t>Lakehouse: A New Generation of Open Platforms that Unify Data Warehousing and Advanced Analytics. In: Conference on Innovative Data Systems Research (CIDR), 2021.</w:t>
      </w:r>
    </w:p>
    <w:p>
      <w:pPr/>
      <w:r>
        <w:rPr>
          <w:b/>
        </w:rPr>
        <w:t xml:space="preserve">CHEN, Min; MAO, Shiwen; LIU, Yunhao. </w:t>
      </w:r>
      <w:r>
        <w:t>Big Data: A Survey. Mobile Networks and Applications, v. 19, n. 2, p. 171–209, 2014.</w:t>
      </w:r>
    </w:p>
    <w:p>
      <w:pPr/>
      <w:r>
        <w:rPr>
          <w:b/>
        </w:rPr>
        <w:t xml:space="preserve">DATABRICKS. </w:t>
      </w:r>
      <w:r>
        <w:t>Delta Lake: High-Performance ACID Table Storage over Cloud Object Stores. Databricks Technical Blog, 2023.</w:t>
      </w:r>
    </w:p>
    <w:p>
      <w:pPr/>
      <w:r>
        <w:rPr>
          <w:b/>
        </w:rPr>
        <w:t xml:space="preserve">DRECHSLER, Gunnar; SAUER, Stefan. </w:t>
      </w:r>
      <w:r>
        <w:t>Cloud Data Warehousing: Challenges and Opportunities. Journal of Database Management, v. 34, n. 1, p. 1–25, 2023.</w:t>
      </w:r>
    </w:p>
    <w:p>
      <w:pPr/>
      <w:r>
        <w:rPr>
          <w:b/>
        </w:rPr>
        <w:t xml:space="preserve">FANG, Hu. </w:t>
      </w:r>
      <w:r>
        <w:t>Managing Data Lakes in Big Data Era: What's a Data Lake and Why Has It Became Popular in Data Management Ecosystem. In: IEEE International Conference on Cyber Technology in Automation, Control, and Intelligent Systems (CYBER), 2015.</w:t>
      </w:r>
    </w:p>
    <w:p>
      <w:pPr/>
      <w:r>
        <w:rPr>
          <w:b/>
        </w:rPr>
        <w:t xml:space="preserve">INMON, William H. </w:t>
      </w:r>
      <w:r>
        <w:t>Building the Data Warehouse. 4. ed. Nova York: John Wiley &amp; Sons, 2002.</w:t>
      </w:r>
    </w:p>
    <w:p>
      <w:pPr/>
      <w:r>
        <w:rPr>
          <w:b/>
        </w:rPr>
        <w:t xml:space="preserve">KIMBALL, Ralph; ROSS, Margy. </w:t>
      </w:r>
      <w:r>
        <w:t>The Data Warehouse Toolkit: The Definitive Guide to Dimensional Modeling. 3. ed. Indianápolis: John Wiley &amp; Sons, 2013.</w:t>
      </w:r>
    </w:p>
    <w:p>
      <w:pPr/>
      <w:r>
        <w:rPr>
          <w:b/>
        </w:rPr>
        <w:t xml:space="preserve">LANEY, Doug. </w:t>
      </w:r>
      <w:r>
        <w:t>3D Data Management: Controlling Data Volume, Velocity, and Variety. META Group Research Note, 2001.</w:t>
      </w:r>
    </w:p>
    <w:p>
      <w:pPr/>
      <w:r>
        <w:rPr>
          <w:b/>
        </w:rPr>
        <w:t xml:space="preserve">MICROSOFT. </w:t>
      </w:r>
      <w:r>
        <w:t>Power BI Documentation. Microsoft Docs, 2023.</w:t>
      </w:r>
    </w:p>
    <w:p>
      <w:pPr/>
      <w:r>
        <w:rPr>
          <w:b/>
        </w:rPr>
        <w:t xml:space="preserve">STONEBRAKER, Michael; ÇETINTEMEL, Ugur. </w:t>
      </w:r>
      <w:r>
        <w:t>One Size Fits All: An Idea Whose Time Has Come and Gone. In: Proceedings of the 21st International Conference on Data Engineering (ICDE), 2005.</w:t>
      </w:r>
    </w:p>
    <w:p>
      <w:pPr/>
      <w:r>
        <w:rPr>
          <w:b/>
        </w:rPr>
        <w:t xml:space="preserve">VASSILIADIS, Panos. </w:t>
      </w:r>
      <w:r>
        <w:t>A Survey of Extract-Transform-Load Technology. International Journal of Data Warehousing and Mining, v. 5, n. 3, p. 1–27, 2009.</w:t>
      </w:r>
    </w:p>
    <w:p>
      <w:pPr/>
      <w:r>
        <w:rPr>
          <w:b/>
        </w:rPr>
        <w:t xml:space="preserve">ZAHARIA, Matei et al. </w:t>
      </w:r>
      <w:r>
        <w:t>Apache Spark: A Unified Engine for Big Data Processing. Communications of the ACM, v. 59, n. 11, p. 56–65, 2016.</w:t>
      </w:r>
    </w:p>
    <w:p>
      <w:pPr/>
      <w:r>
        <w:rPr>
          <w:b/>
        </w:rPr>
        <w:t xml:space="preserve">ZAHARIA, Matei et al. </w:t>
      </w:r>
      <w:r>
        <w:t>Delta Lake: High-Performance ACID Table Storage over Cloud Object Stores. Proceedings of the VLDB Endowment, v. 13, n. 12, p. 3411–3424, 2021.</w:t>
      </w:r>
    </w:p>
    <w:p>
      <w:r>
        <w:br w:type="page"/>
      </w:r>
    </w:p>
    <w:p>
      <w:pPr>
        <w:spacing w:before="240" w:after="120"/>
        <w:jc w:val="left"/>
      </w:pPr>
      <w:r>
        <w:rPr>
          <w:b/>
          <w:sz w:val="28"/>
        </w:rPr>
        <w:t>CAPÍTULO 3 — METODOLOGIA</w:t>
      </w:r>
    </w:p>
    <w:p>
      <w:pPr>
        <w:spacing w:before="240" w:after="120"/>
        <w:jc w:val="left"/>
      </w:pPr>
      <w:r>
        <w:rPr>
          <w:b/>
          <w:sz w:val="26"/>
        </w:rPr>
        <w:t>3.1 Classificação da Pesquisa</w:t>
      </w:r>
    </w:p>
    <w:p>
      <w:pPr>
        <w:ind w:firstLine="709"/>
        <w:jc w:val="both"/>
      </w:pPr>
      <w:r>
        <w:rPr>
          <w:sz w:val="24"/>
        </w:rPr>
        <w:t>Do ponto de vista de sua natureza, este trabalho configura-se como uma pesquisa aplicada, pois objetiva a geração de conhecimento voltado à solução de um problema prático e concreto: a implementação de uma arquitetura de dados funcional para análise de e-commerce (GIL, 2002). Quanto aos seus objetivos, classifica-se como exploratório-descritiva: exploratória pela relativa escassez de estudos aplicados que combinem arquitetura Lakehouse e validação empírica de qualidade analítica no domínio de e-commerce; descritiva por registrar sistematicamente as características do pipeline implementado e seus resultados mensuráveis.</w:t>
      </w:r>
    </w:p>
    <w:p>
      <w:pPr>
        <w:ind w:firstLine="709"/>
        <w:jc w:val="both"/>
      </w:pPr>
      <w:r>
        <w:rPr>
          <w:sz w:val="24"/>
        </w:rPr>
        <w:t>Em relação à abordagem do problema, a pesquisa é mista (quali-quantitativa): adota instrumentos quantitativos para coleta e análise de métricas de desempenho e qualidade de dados, e abordagem qualitativa para análise comparativa entre a arquitetura Lakehouse e o modelo de Data Warehouse de referência. Quanto ao procedimento técnico, enquadra-se como estudo de caso experimental, pois implementa um sistema de software completo — desde a geração de dados simulados até a camada analítica — e avalia seus resultados em condições controladas (YIN, 2015).</w:t>
      </w:r>
    </w:p>
    <w:p>
      <w:pPr>
        <w:spacing w:before="240" w:after="120"/>
        <w:jc w:val="left"/>
      </w:pPr>
      <w:r>
        <w:rPr>
          <w:b/>
          <w:sz w:val="26"/>
        </w:rPr>
        <w:t>3.2 Ambiente de Desenvolvimento</w:t>
      </w:r>
    </w:p>
    <w:p>
      <w:pPr>
        <w:ind w:firstLine="709"/>
        <w:jc w:val="both"/>
      </w:pPr>
      <w:r>
        <w:rPr>
          <w:sz w:val="24"/>
        </w:rPr>
        <w:t>A implementação deste trabalho é realizada em ambiente local, com as seguintes especificações de hardware e software:</w:t>
      </w:r>
    </w:p>
    <w:p>
      <w:r>
        <w:rPr>
          <w:b/>
        </w:rPr>
        <w:t>Hardware:</w:t>
      </w:r>
    </w:p>
    <w:p>
      <w:r>
        <w:t>• Sistema Operacional: Microsoft Windows 11 Pro</w:t>
      </w:r>
    </w:p>
    <w:p>
      <w:r>
        <w:t>• Processador: compatível com execução de cargas Spark em modo local</w:t>
      </w:r>
    </w:p>
    <w:p>
      <w:r>
        <w:t>• Memória RAM: mínimo 8 GB (recomendado 16 GB para execução do Spark)</w:t>
      </w:r>
    </w:p>
    <w:p>
      <w:pPr>
        <w:spacing w:before="240" w:after="120"/>
        <w:jc w:val="left"/>
      </w:pPr>
      <w:r>
        <w:rPr>
          <w:b/>
          <w:sz w:val="24"/>
        </w:rPr>
        <w:t>Quadro 5 — Ferramentas e versões utilizadas no projeto</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Ferramenta</w:t>
            </w:r>
          </w:p>
        </w:tc>
        <w:tc>
          <w:tcPr>
            <w:tcW w:type="dxa" w:w="2880"/>
          </w:tcPr>
          <w:p>
            <w:pPr>
              <w:jc w:val="center"/>
            </w:pPr>
            <w:r>
              <w:rPr>
                <w:b/>
                <w:sz w:val="20"/>
              </w:rPr>
              <w:t>Versão</w:t>
            </w:r>
          </w:p>
        </w:tc>
        <w:tc>
          <w:tcPr>
            <w:tcW w:type="dxa" w:w="2880"/>
          </w:tcPr>
          <w:p>
            <w:pPr>
              <w:jc w:val="center"/>
            </w:pPr>
            <w:r>
              <w:rPr>
                <w:b/>
                <w:sz w:val="20"/>
              </w:rPr>
              <w:t>Finalidade</w:t>
            </w:r>
          </w:p>
        </w:tc>
      </w:tr>
      <w:tr>
        <w:tc>
          <w:tcPr>
            <w:tcW w:type="dxa" w:w="2880"/>
          </w:tcPr>
          <w:p>
            <w:r>
              <w:rPr>
                <w:sz w:val="20"/>
              </w:rPr>
              <w:t>Python</w:t>
            </w:r>
          </w:p>
        </w:tc>
        <w:tc>
          <w:tcPr>
            <w:tcW w:type="dxa" w:w="2880"/>
          </w:tcPr>
          <w:p>
            <w:r>
              <w:rPr>
                <w:sz w:val="20"/>
              </w:rPr>
              <w:t>3.11</w:t>
            </w:r>
          </w:p>
        </w:tc>
        <w:tc>
          <w:tcPr>
            <w:tcW w:type="dxa" w:w="2880"/>
          </w:tcPr>
          <w:p>
            <w:r>
              <w:rPr>
                <w:sz w:val="20"/>
              </w:rPr>
              <w:t>Linguagem principal do projeto</w:t>
            </w:r>
          </w:p>
        </w:tc>
      </w:tr>
      <w:tr>
        <w:tc>
          <w:tcPr>
            <w:tcW w:type="dxa" w:w="2880"/>
          </w:tcPr>
          <w:p>
            <w:r>
              <w:rPr>
                <w:sz w:val="20"/>
              </w:rPr>
              <w:t>Apache Spark</w:t>
            </w:r>
          </w:p>
        </w:tc>
        <w:tc>
          <w:tcPr>
            <w:tcW w:type="dxa" w:w="2880"/>
          </w:tcPr>
          <w:p>
            <w:r>
              <w:rPr>
                <w:sz w:val="20"/>
              </w:rPr>
              <w:t>3.5.1</w:t>
            </w:r>
          </w:p>
        </w:tc>
        <w:tc>
          <w:tcPr>
            <w:tcW w:type="dxa" w:w="2880"/>
          </w:tcPr>
          <w:p>
            <w:r>
              <w:rPr>
                <w:sz w:val="20"/>
              </w:rPr>
              <w:t>Processamento distribuído entre camadas</w:t>
            </w:r>
          </w:p>
        </w:tc>
      </w:tr>
      <w:tr>
        <w:tc>
          <w:tcPr>
            <w:tcW w:type="dxa" w:w="2880"/>
          </w:tcPr>
          <w:p>
            <w:r>
              <w:rPr>
                <w:sz w:val="20"/>
              </w:rPr>
              <w:t>Delta Lake</w:t>
            </w:r>
          </w:p>
        </w:tc>
        <w:tc>
          <w:tcPr>
            <w:tcW w:type="dxa" w:w="2880"/>
          </w:tcPr>
          <w:p>
            <w:r>
              <w:rPr>
                <w:sz w:val="20"/>
              </w:rPr>
              <w:t>3.2.0</w:t>
            </w:r>
          </w:p>
        </w:tc>
        <w:tc>
          <w:tcPr>
            <w:tcW w:type="dxa" w:w="2880"/>
          </w:tcPr>
          <w:p>
            <w:r>
              <w:rPr>
                <w:sz w:val="20"/>
              </w:rPr>
              <w:t>Armazenamento transacional ACID</w:t>
            </w:r>
          </w:p>
        </w:tc>
      </w:tr>
      <w:tr>
        <w:tc>
          <w:tcPr>
            <w:tcW w:type="dxa" w:w="2880"/>
          </w:tcPr>
          <w:p>
            <w:r>
              <w:rPr>
                <w:sz w:val="20"/>
              </w:rPr>
              <w:t>FastAPI</w:t>
            </w:r>
          </w:p>
        </w:tc>
        <w:tc>
          <w:tcPr>
            <w:tcW w:type="dxa" w:w="2880"/>
          </w:tcPr>
          <w:p>
            <w:r>
              <w:rPr>
                <w:sz w:val="20"/>
              </w:rPr>
              <w:t>0.115.0</w:t>
            </w:r>
          </w:p>
        </w:tc>
        <w:tc>
          <w:tcPr>
            <w:tcW w:type="dxa" w:w="2880"/>
          </w:tcPr>
          <w:p>
            <w:r>
              <w:rPr>
                <w:sz w:val="20"/>
              </w:rPr>
              <w:t>API simuladora de e-commerce</w:t>
            </w:r>
          </w:p>
        </w:tc>
      </w:tr>
      <w:tr>
        <w:tc>
          <w:tcPr>
            <w:tcW w:type="dxa" w:w="2880"/>
          </w:tcPr>
          <w:p>
            <w:r>
              <w:rPr>
                <w:sz w:val="20"/>
              </w:rPr>
              <w:t>Pandas</w:t>
            </w:r>
          </w:p>
        </w:tc>
        <w:tc>
          <w:tcPr>
            <w:tcW w:type="dxa" w:w="2880"/>
          </w:tcPr>
          <w:p>
            <w:r>
              <w:rPr>
                <w:sz w:val="20"/>
              </w:rPr>
              <w:t>2.2.2</w:t>
            </w:r>
          </w:p>
        </w:tc>
        <w:tc>
          <w:tcPr>
            <w:tcW w:type="dxa" w:w="2880"/>
          </w:tcPr>
          <w:p>
            <w:r>
              <w:rPr>
                <w:sz w:val="20"/>
              </w:rPr>
              <w:t>Manipulação de dados tabulares</w:t>
            </w:r>
          </w:p>
        </w:tc>
      </w:tr>
      <w:tr>
        <w:tc>
          <w:tcPr>
            <w:tcW w:type="dxa" w:w="2880"/>
          </w:tcPr>
          <w:p>
            <w:r>
              <w:rPr>
                <w:sz w:val="20"/>
              </w:rPr>
              <w:t>PyArrow</w:t>
            </w:r>
          </w:p>
        </w:tc>
        <w:tc>
          <w:tcPr>
            <w:tcW w:type="dxa" w:w="2880"/>
          </w:tcPr>
          <w:p>
            <w:r>
              <w:rPr>
                <w:sz w:val="20"/>
              </w:rPr>
              <w:t>17.0.0</w:t>
            </w:r>
          </w:p>
        </w:tc>
        <w:tc>
          <w:tcPr>
            <w:tcW w:type="dxa" w:w="2880"/>
          </w:tcPr>
          <w:p>
            <w:r>
              <w:rPr>
                <w:sz w:val="20"/>
              </w:rPr>
              <w:t>Serialização Parquet</w:t>
            </w:r>
          </w:p>
        </w:tc>
      </w:tr>
      <w:tr>
        <w:tc>
          <w:tcPr>
            <w:tcW w:type="dxa" w:w="2880"/>
          </w:tcPr>
          <w:p>
            <w:r>
              <w:rPr>
                <w:sz w:val="20"/>
              </w:rPr>
              <w:t>Faker</w:t>
            </w:r>
          </w:p>
        </w:tc>
        <w:tc>
          <w:tcPr>
            <w:tcW w:type="dxa" w:w="2880"/>
          </w:tcPr>
          <w:p>
            <w:r>
              <w:rPr>
                <w:sz w:val="20"/>
              </w:rPr>
              <w:t>26.0.0</w:t>
            </w:r>
          </w:p>
        </w:tc>
        <w:tc>
          <w:tcPr>
            <w:tcW w:type="dxa" w:w="2880"/>
          </w:tcPr>
          <w:p>
            <w:r>
              <w:rPr>
                <w:sz w:val="20"/>
              </w:rPr>
              <w:t>Geração de dados sintéticos</w:t>
            </w:r>
          </w:p>
        </w:tc>
      </w:tr>
      <w:tr>
        <w:tc>
          <w:tcPr>
            <w:tcW w:type="dxa" w:w="2880"/>
          </w:tcPr>
          <w:p>
            <w:r>
              <w:rPr>
                <w:sz w:val="20"/>
              </w:rPr>
              <w:t>PostgreSQL</w:t>
            </w:r>
          </w:p>
        </w:tc>
        <w:tc>
          <w:tcPr>
            <w:tcW w:type="dxa" w:w="2880"/>
          </w:tcPr>
          <w:p>
            <w:r>
              <w:rPr>
                <w:sz w:val="20"/>
              </w:rPr>
              <w:t>15+</w:t>
            </w:r>
          </w:p>
        </w:tc>
        <w:tc>
          <w:tcPr>
            <w:tcW w:type="dxa" w:w="2880"/>
          </w:tcPr>
          <w:p>
            <w:r>
              <w:rPr>
                <w:sz w:val="20"/>
              </w:rPr>
              <w:t>Banco do DW de referência para comparação</w:t>
            </w:r>
          </w:p>
        </w:tc>
      </w:tr>
      <w:tr>
        <w:tc>
          <w:tcPr>
            <w:tcW w:type="dxa" w:w="2880"/>
          </w:tcPr>
          <w:p>
            <w:r>
              <w:rPr>
                <w:sz w:val="20"/>
              </w:rPr>
              <w:t>SQLAlchemy</w:t>
            </w:r>
          </w:p>
        </w:tc>
        <w:tc>
          <w:tcPr>
            <w:tcW w:type="dxa" w:w="2880"/>
          </w:tcPr>
          <w:p>
            <w:r>
              <w:rPr>
                <w:sz w:val="20"/>
              </w:rPr>
              <w:t>2.0+</w:t>
            </w:r>
          </w:p>
        </w:tc>
        <w:tc>
          <w:tcPr>
            <w:tcW w:type="dxa" w:w="2880"/>
          </w:tcPr>
          <w:p>
            <w:r>
              <w:rPr>
                <w:sz w:val="20"/>
              </w:rPr>
              <w:t>Conexão Python → PostgreSQL</w:t>
            </w:r>
          </w:p>
        </w:tc>
      </w:tr>
      <w:tr>
        <w:tc>
          <w:tcPr>
            <w:tcW w:type="dxa" w:w="2880"/>
          </w:tcPr>
          <w:p>
            <w:r>
              <w:rPr>
                <w:sz w:val="20"/>
              </w:rPr>
              <w:t>Power BI Desktop</w:t>
            </w:r>
          </w:p>
        </w:tc>
        <w:tc>
          <w:tcPr>
            <w:tcW w:type="dxa" w:w="2880"/>
          </w:tcPr>
          <w:p>
            <w:r>
              <w:rPr>
                <w:sz w:val="20"/>
              </w:rPr>
              <w:t>Versão atual</w:t>
            </w:r>
          </w:p>
        </w:tc>
        <w:tc>
          <w:tcPr>
            <w:tcW w:type="dxa" w:w="2880"/>
          </w:tcPr>
          <w:p>
            <w:r>
              <w:rPr>
                <w:sz w:val="20"/>
              </w:rPr>
              <w:t>Camada de visualização analítica</w:t>
            </w:r>
          </w:p>
        </w:tc>
      </w:tr>
    </w:tbl>
    <w:p/>
    <w:p>
      <w:pPr>
        <w:ind w:firstLine="709"/>
        <w:jc w:val="both"/>
      </w:pPr>
      <w:r>
        <w:rPr>
          <w:sz w:val="24"/>
        </w:rPr>
        <w:t>O Apache Spark é executado em modo local (spark://local[*]), utilizando todos os núcleos de processamento disponíveis na máquina, o que representa um ambiente realista para organizações de pequeno e médio porte sem infraestrutura de cluster dedicada.</w:t>
      </w:r>
    </w:p>
    <w:p>
      <w:pPr>
        <w:spacing w:before="240" w:after="120"/>
        <w:jc w:val="left"/>
      </w:pPr>
      <w:r>
        <w:rPr>
          <w:b/>
          <w:sz w:val="26"/>
        </w:rPr>
        <w:t>3.3 Especificação do Dataset Simulado</w:t>
      </w:r>
    </w:p>
    <w:p>
      <w:pPr>
        <w:ind w:firstLine="709"/>
        <w:jc w:val="both"/>
      </w:pPr>
      <w:r>
        <w:rPr>
          <w:sz w:val="24"/>
        </w:rPr>
        <w:t>Os dados utilizados neste trabalho são inteiramente sintéticos, gerados por uma API desenvolvida com FastAPI e populada pela biblioteca Faker. Essa abordagem garante o controle total sobre o volume, distribuição e qualidade dos dados, além de eliminar questões de privacidade e conformidade com a Lei Geral de Proteção de Dados (LGPD).</w:t>
      </w:r>
    </w:p>
    <w:p>
      <w:pPr>
        <w:spacing w:before="240" w:after="120"/>
        <w:jc w:val="left"/>
      </w:pPr>
      <w:r>
        <w:rPr>
          <w:b/>
          <w:sz w:val="24"/>
        </w:rPr>
        <w:t>3.3.1 Entidades e Volume</w:t>
      </w:r>
    </w:p>
    <w:p>
      <w:pPr>
        <w:spacing w:before="240" w:after="120"/>
        <w:jc w:val="left"/>
      </w:pPr>
      <w:r>
        <w:rPr>
          <w:b/>
          <w:sz w:val="24"/>
        </w:rPr>
        <w:t>Quadro 6 — Entidades e volumes do dataset simulado</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Entidade</w:t>
            </w:r>
          </w:p>
        </w:tc>
        <w:tc>
          <w:tcPr>
            <w:tcW w:type="dxa" w:w="2880"/>
          </w:tcPr>
          <w:p>
            <w:pPr>
              <w:jc w:val="center"/>
            </w:pPr>
            <w:r>
              <w:rPr>
                <w:b/>
                <w:sz w:val="20"/>
              </w:rPr>
              <w:t>Volume</w:t>
            </w:r>
          </w:p>
        </w:tc>
        <w:tc>
          <w:tcPr>
            <w:tcW w:type="dxa" w:w="2880"/>
          </w:tcPr>
          <w:p>
            <w:pPr>
              <w:jc w:val="center"/>
            </w:pPr>
            <w:r>
              <w:rPr>
                <w:b/>
                <w:sz w:val="20"/>
              </w:rPr>
              <w:t>Descrição</w:t>
            </w:r>
          </w:p>
        </w:tc>
      </w:tr>
      <w:tr>
        <w:tc>
          <w:tcPr>
            <w:tcW w:type="dxa" w:w="2880"/>
          </w:tcPr>
          <w:p>
            <w:r>
              <w:rPr>
                <w:sz w:val="20"/>
              </w:rPr>
              <w:t>Clientes</w:t>
            </w:r>
          </w:p>
        </w:tc>
        <w:tc>
          <w:tcPr>
            <w:tcW w:type="dxa" w:w="2880"/>
          </w:tcPr>
          <w:p>
            <w:r>
              <w:rPr>
                <w:sz w:val="20"/>
              </w:rPr>
              <w:t>1.000 registros</w:t>
            </w:r>
          </w:p>
        </w:tc>
        <w:tc>
          <w:tcPr>
            <w:tcW w:type="dxa" w:w="2880"/>
          </w:tcPr>
          <w:p>
            <w:r>
              <w:rPr>
                <w:sz w:val="20"/>
              </w:rPr>
              <w:t>Dados cadastrais com cidade, estado, região e segmento</w:t>
            </w:r>
          </w:p>
        </w:tc>
      </w:tr>
      <w:tr>
        <w:tc>
          <w:tcPr>
            <w:tcW w:type="dxa" w:w="2880"/>
          </w:tcPr>
          <w:p>
            <w:r>
              <w:rPr>
                <w:sz w:val="20"/>
              </w:rPr>
              <w:t>Categorias</w:t>
            </w:r>
          </w:p>
        </w:tc>
        <w:tc>
          <w:tcPr>
            <w:tcW w:type="dxa" w:w="2880"/>
          </w:tcPr>
          <w:p>
            <w:r>
              <w:rPr>
                <w:sz w:val="20"/>
              </w:rPr>
              <w:t>20 registros</w:t>
            </w:r>
          </w:p>
        </w:tc>
        <w:tc>
          <w:tcPr>
            <w:tcW w:type="dxa" w:w="2880"/>
          </w:tcPr>
          <w:p>
            <w:r>
              <w:rPr>
                <w:sz w:val="20"/>
              </w:rPr>
              <w:t>Hierarquia de categorias de produtos</w:t>
            </w:r>
          </w:p>
        </w:tc>
      </w:tr>
      <w:tr>
        <w:tc>
          <w:tcPr>
            <w:tcW w:type="dxa" w:w="2880"/>
          </w:tcPr>
          <w:p>
            <w:r>
              <w:rPr>
                <w:sz w:val="20"/>
              </w:rPr>
              <w:t>Produtos</w:t>
            </w:r>
          </w:p>
        </w:tc>
        <w:tc>
          <w:tcPr>
            <w:tcW w:type="dxa" w:w="2880"/>
          </w:tcPr>
          <w:p>
            <w:r>
              <w:rPr>
                <w:sz w:val="20"/>
              </w:rPr>
              <w:t>500 registros</w:t>
            </w:r>
          </w:p>
        </w:tc>
        <w:tc>
          <w:tcPr>
            <w:tcW w:type="dxa" w:w="2880"/>
          </w:tcPr>
          <w:p>
            <w:r>
              <w:rPr>
                <w:sz w:val="20"/>
              </w:rPr>
              <w:t>Catálogo com preço, categoria e disponibilidade</w:t>
            </w:r>
          </w:p>
        </w:tc>
      </w:tr>
      <w:tr>
        <w:tc>
          <w:tcPr>
            <w:tcW w:type="dxa" w:w="2880"/>
          </w:tcPr>
          <w:p>
            <w:r>
              <w:rPr>
                <w:sz w:val="20"/>
              </w:rPr>
              <w:t>Pedidos</w:t>
            </w:r>
          </w:p>
        </w:tc>
        <w:tc>
          <w:tcPr>
            <w:tcW w:type="dxa" w:w="2880"/>
          </w:tcPr>
          <w:p>
            <w:r>
              <w:rPr>
                <w:sz w:val="20"/>
              </w:rPr>
              <w:t>10.000 registros</w:t>
            </w:r>
          </w:p>
        </w:tc>
        <w:tc>
          <w:tcPr>
            <w:tcW w:type="dxa" w:w="2880"/>
          </w:tcPr>
          <w:p>
            <w:r>
              <w:rPr>
                <w:sz w:val="20"/>
              </w:rPr>
              <w:t>Cabeçalho de pedidos com status e canal de venda</w:t>
            </w:r>
          </w:p>
        </w:tc>
      </w:tr>
      <w:tr>
        <w:tc>
          <w:tcPr>
            <w:tcW w:type="dxa" w:w="2880"/>
          </w:tcPr>
          <w:p>
            <w:r>
              <w:rPr>
                <w:sz w:val="20"/>
              </w:rPr>
              <w:t>Itens de Pedido</w:t>
            </w:r>
          </w:p>
        </w:tc>
        <w:tc>
          <w:tcPr>
            <w:tcW w:type="dxa" w:w="2880"/>
          </w:tcPr>
          <w:p>
            <w:r>
              <w:rPr>
                <w:sz w:val="20"/>
              </w:rPr>
              <w:t>~30.000 registros</w:t>
            </w:r>
          </w:p>
        </w:tc>
        <w:tc>
          <w:tcPr>
            <w:tcW w:type="dxa" w:w="2880"/>
          </w:tcPr>
          <w:p>
            <w:r>
              <w:rPr>
                <w:sz w:val="20"/>
              </w:rPr>
              <w:t>Linha de pedido com produto, quantidade e desconto</w:t>
            </w:r>
          </w:p>
        </w:tc>
      </w:tr>
      <w:tr>
        <w:tc>
          <w:tcPr>
            <w:tcW w:type="dxa" w:w="2880"/>
          </w:tcPr>
          <w:p>
            <w:r>
              <w:rPr>
                <w:sz w:val="20"/>
              </w:rPr>
              <w:t>Pagamentos</w:t>
            </w:r>
          </w:p>
        </w:tc>
        <w:tc>
          <w:tcPr>
            <w:tcW w:type="dxa" w:w="2880"/>
          </w:tcPr>
          <w:p>
            <w:r>
              <w:rPr>
                <w:sz w:val="20"/>
              </w:rPr>
              <w:t>10.000 registros</w:t>
            </w:r>
          </w:p>
        </w:tc>
        <w:tc>
          <w:tcPr>
            <w:tcW w:type="dxa" w:w="2880"/>
          </w:tcPr>
          <w:p>
            <w:r>
              <w:rPr>
                <w:sz w:val="20"/>
              </w:rPr>
              <w:t>Método, status e data de pagamento</w:t>
            </w:r>
          </w:p>
        </w:tc>
      </w:tr>
    </w:tbl>
    <w:p/>
    <w:p>
      <w:pPr>
        <w:spacing w:before="240" w:after="120"/>
        <w:jc w:val="left"/>
      </w:pPr>
      <w:r>
        <w:rPr>
          <w:b/>
          <w:sz w:val="24"/>
        </w:rPr>
        <w:t>3.3.2 Endpoints da API</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Método</w:t>
            </w:r>
          </w:p>
        </w:tc>
        <w:tc>
          <w:tcPr>
            <w:tcW w:type="dxa" w:w="2880"/>
          </w:tcPr>
          <w:p>
            <w:pPr>
              <w:jc w:val="center"/>
            </w:pPr>
            <w:r>
              <w:rPr>
                <w:b/>
                <w:sz w:val="20"/>
              </w:rPr>
              <w:t>Rota</w:t>
            </w:r>
          </w:p>
        </w:tc>
        <w:tc>
          <w:tcPr>
            <w:tcW w:type="dxa" w:w="2880"/>
          </w:tcPr>
          <w:p>
            <w:pPr>
              <w:jc w:val="center"/>
            </w:pPr>
            <w:r>
              <w:rPr>
                <w:b/>
                <w:sz w:val="20"/>
              </w:rPr>
              <w:t>Retorno</w:t>
            </w:r>
          </w:p>
        </w:tc>
      </w:tr>
      <w:tr>
        <w:tc>
          <w:tcPr>
            <w:tcW w:type="dxa" w:w="2880"/>
          </w:tcPr>
          <w:p>
            <w:r>
              <w:rPr>
                <w:sz w:val="20"/>
              </w:rPr>
              <w:t>GET</w:t>
            </w:r>
          </w:p>
        </w:tc>
        <w:tc>
          <w:tcPr>
            <w:tcW w:type="dxa" w:w="2880"/>
          </w:tcPr>
          <w:p>
            <w:r>
              <w:rPr>
                <w:sz w:val="20"/>
              </w:rPr>
              <w:t>/clientes</w:t>
            </w:r>
          </w:p>
        </w:tc>
        <w:tc>
          <w:tcPr>
            <w:tcW w:type="dxa" w:w="2880"/>
          </w:tcPr>
          <w:p>
            <w:r>
              <w:rPr>
                <w:sz w:val="20"/>
              </w:rPr>
              <w:t>Lista de clientes com paginação</w:t>
            </w:r>
          </w:p>
        </w:tc>
      </w:tr>
      <w:tr>
        <w:tc>
          <w:tcPr>
            <w:tcW w:type="dxa" w:w="2880"/>
          </w:tcPr>
          <w:p>
            <w:r>
              <w:rPr>
                <w:sz w:val="20"/>
              </w:rPr>
              <w:t>GET</w:t>
            </w:r>
          </w:p>
        </w:tc>
        <w:tc>
          <w:tcPr>
            <w:tcW w:type="dxa" w:w="2880"/>
          </w:tcPr>
          <w:p>
            <w:r>
              <w:rPr>
                <w:sz w:val="20"/>
              </w:rPr>
              <w:t>/produtos</w:t>
            </w:r>
          </w:p>
        </w:tc>
        <w:tc>
          <w:tcPr>
            <w:tcW w:type="dxa" w:w="2880"/>
          </w:tcPr>
          <w:p>
            <w:r>
              <w:rPr>
                <w:sz w:val="20"/>
              </w:rPr>
              <w:t>Catálogo de produtos</w:t>
            </w:r>
          </w:p>
        </w:tc>
      </w:tr>
      <w:tr>
        <w:tc>
          <w:tcPr>
            <w:tcW w:type="dxa" w:w="2880"/>
          </w:tcPr>
          <w:p>
            <w:r>
              <w:rPr>
                <w:sz w:val="20"/>
              </w:rPr>
              <w:t>GET</w:t>
            </w:r>
          </w:p>
        </w:tc>
        <w:tc>
          <w:tcPr>
            <w:tcW w:type="dxa" w:w="2880"/>
          </w:tcPr>
          <w:p>
            <w:r>
              <w:rPr>
                <w:sz w:val="20"/>
              </w:rPr>
              <w:t>/categorias</w:t>
            </w:r>
          </w:p>
        </w:tc>
        <w:tc>
          <w:tcPr>
            <w:tcW w:type="dxa" w:w="2880"/>
          </w:tcPr>
          <w:p>
            <w:r>
              <w:rPr>
                <w:sz w:val="20"/>
              </w:rPr>
              <w:t>Hierarquia de categorias</w:t>
            </w:r>
          </w:p>
        </w:tc>
      </w:tr>
      <w:tr>
        <w:tc>
          <w:tcPr>
            <w:tcW w:type="dxa" w:w="2880"/>
          </w:tcPr>
          <w:p>
            <w:r>
              <w:rPr>
                <w:sz w:val="20"/>
              </w:rPr>
              <w:t>GET</w:t>
            </w:r>
          </w:p>
        </w:tc>
        <w:tc>
          <w:tcPr>
            <w:tcW w:type="dxa" w:w="2880"/>
          </w:tcPr>
          <w:p>
            <w:r>
              <w:rPr>
                <w:sz w:val="20"/>
              </w:rPr>
              <w:t>/pedidos</w:t>
            </w:r>
          </w:p>
        </w:tc>
        <w:tc>
          <w:tcPr>
            <w:tcW w:type="dxa" w:w="2880"/>
          </w:tcPr>
          <w:p>
            <w:r>
              <w:rPr>
                <w:sz w:val="20"/>
              </w:rPr>
              <w:t>Pedidos com filtro por data</w:t>
            </w:r>
          </w:p>
        </w:tc>
      </w:tr>
      <w:tr>
        <w:tc>
          <w:tcPr>
            <w:tcW w:type="dxa" w:w="2880"/>
          </w:tcPr>
          <w:p>
            <w:r>
              <w:rPr>
                <w:sz w:val="20"/>
              </w:rPr>
              <w:t>GET</w:t>
            </w:r>
          </w:p>
        </w:tc>
        <w:tc>
          <w:tcPr>
            <w:tcW w:type="dxa" w:w="2880"/>
          </w:tcPr>
          <w:p>
            <w:r>
              <w:rPr>
                <w:sz w:val="20"/>
              </w:rPr>
              <w:t>/itens-pedido</w:t>
            </w:r>
          </w:p>
        </w:tc>
        <w:tc>
          <w:tcPr>
            <w:tcW w:type="dxa" w:w="2880"/>
          </w:tcPr>
          <w:p>
            <w:r>
              <w:rPr>
                <w:sz w:val="20"/>
              </w:rPr>
              <w:t>Itens por pedido</w:t>
            </w:r>
          </w:p>
        </w:tc>
      </w:tr>
      <w:tr>
        <w:tc>
          <w:tcPr>
            <w:tcW w:type="dxa" w:w="2880"/>
          </w:tcPr>
          <w:p>
            <w:r>
              <w:rPr>
                <w:sz w:val="20"/>
              </w:rPr>
              <w:t>GET</w:t>
            </w:r>
          </w:p>
        </w:tc>
        <w:tc>
          <w:tcPr>
            <w:tcW w:type="dxa" w:w="2880"/>
          </w:tcPr>
          <w:p>
            <w:r>
              <w:rPr>
                <w:sz w:val="20"/>
              </w:rPr>
              <w:t>/pagamentos</w:t>
            </w:r>
          </w:p>
        </w:tc>
        <w:tc>
          <w:tcPr>
            <w:tcW w:type="dxa" w:w="2880"/>
          </w:tcPr>
          <w:p>
            <w:r>
              <w:rPr>
                <w:sz w:val="20"/>
              </w:rPr>
              <w:t>Pagamentos por período</w:t>
            </w:r>
          </w:p>
        </w:tc>
      </w:tr>
    </w:tbl>
    <w:p/>
    <w:p>
      <w:pPr>
        <w:spacing w:before="240" w:after="120"/>
        <w:jc w:val="left"/>
      </w:pPr>
      <w:r>
        <w:rPr>
          <w:b/>
          <w:sz w:val="24"/>
        </w:rPr>
        <w:t>3.3.3 Distribuição e Qualidade Intencional dos Dados</w:t>
      </w:r>
    </w:p>
    <w:p>
      <w:pPr>
        <w:ind w:firstLine="709"/>
        <w:jc w:val="both"/>
      </w:pPr>
      <w:r>
        <w:rPr>
          <w:sz w:val="24"/>
        </w:rPr>
        <w:t>Para tornar o cenário de testes realista, o dataset simulado introduz intencionalmente imperfeições que o pipeline de transformação deverá tratar:</w:t>
      </w:r>
    </w:p>
    <w:p>
      <w:r>
        <w:t>• 5% dos registros de clientes com campos nulos em cidade ou estado</w:t>
      </w:r>
    </w:p>
    <w:p>
      <w:r>
        <w:t>• 3% dos itens de pedido com quantidade ou preço negativos (erros de digitação)</w:t>
      </w:r>
    </w:p>
    <w:p>
      <w:r>
        <w:t>• 2% dos pedidos duplicados (simulando falha de retry na API de origem)</w:t>
      </w:r>
    </w:p>
    <w:p>
      <w:r>
        <w:t>• Datas fora do intervalo esperado em 1% dos pagamentos</w:t>
      </w:r>
    </w:p>
    <w:p>
      <w:pPr>
        <w:ind w:firstLine="709"/>
        <w:jc w:val="both"/>
      </w:pPr>
      <w:r>
        <w:rPr>
          <w:sz w:val="24"/>
        </w:rPr>
        <w:t>Essas imperfeições permitem validar a efetividade das regras de qualidade aplicadas na camada Silver e mensurar a completude e consistência dos dados na camada Gold.</w:t>
      </w:r>
    </w:p>
    <w:p>
      <w:pPr>
        <w:spacing w:before="240" w:after="120"/>
        <w:jc w:val="left"/>
      </w:pPr>
      <w:r>
        <w:rPr>
          <w:b/>
          <w:sz w:val="26"/>
        </w:rPr>
        <w:t>3.4 Arquitetura do Pipeline de Dados</w:t>
      </w:r>
    </w:p>
    <w:p>
      <w:pPr>
        <w:ind w:firstLine="709"/>
        <w:jc w:val="both"/>
      </w:pPr>
      <w:r>
        <w:rPr>
          <w:sz w:val="24"/>
        </w:rPr>
        <w:t>O pipeline de dados é implementado seguindo o padrão de três camadas da arquitetura Lakehouse, com todas as tabelas armazenadas no formato Delta Lake.</w:t>
      </w:r>
    </w:p>
    <w:p>
      <w:pPr>
        <w:spacing w:before="240" w:after="120"/>
        <w:jc w:val="left"/>
      </w:pPr>
      <w:r>
        <w:rPr>
          <w:b/>
          <w:sz w:val="24"/>
        </w:rPr>
        <w:t>3.4.1 Camada Bronze — Ingestão Bruta</w:t>
      </w:r>
    </w:p>
    <w:p>
      <w:pPr>
        <w:ind w:firstLine="709"/>
        <w:jc w:val="both"/>
      </w:pPr>
      <w:r>
        <w:rPr>
          <w:sz w:val="24"/>
        </w:rPr>
        <w:t>A camada Bronze realiza a ingestão dos dados diretamente dos endpoints da API, sem nenhuma transformação. Os dados são armazenados em formato Delta Lake particionado por data de ingestão, preservando o histórico completo e garantindo rastreabilidade. O processo consiste em: (1) chamada HTTP aos endpoints da API; (2) conversão do JSON para DataFrame Spark; (3) adição de metadados de ingestão (_data_ingestao, _origem); (4) gravação em Delta Lake no diretório data/raw/bronze/{entidade}/.</w:t>
      </w:r>
    </w:p>
    <w:p>
      <w:pPr>
        <w:spacing w:before="240" w:after="120"/>
        <w:jc w:val="left"/>
      </w:pPr>
      <w:r>
        <w:rPr>
          <w:b/>
          <w:sz w:val="24"/>
        </w:rPr>
        <w:t>3.4.2 Camada Silver — Refinamento e Qualidade</w:t>
      </w:r>
    </w:p>
    <w:p>
      <w:pPr>
        <w:ind w:firstLine="709"/>
        <w:jc w:val="both"/>
      </w:pPr>
      <w:r>
        <w:rPr>
          <w:sz w:val="24"/>
        </w:rPr>
        <w:t>A camada Silver aplica as regras de qualidade e padronização sobre os dados da camada Bronze. As transformações incluem: remoção de registros duplicados com base em chave de negócio; preenchimento ou exclusão de registros com campos obrigatórios nulos; validação de domínio (preços positivos, datas válidas, status permitidos); padronização de tipos de dados; normalização de strings; e enriquecimento com campos derivados (ex: valor_liquido = valor_bruto - desconto). As tabelas resultantes são armazenadas em data/processed/silver/{entidade}/.</w:t>
      </w:r>
    </w:p>
    <w:p>
      <w:pPr>
        <w:spacing w:before="240" w:after="120"/>
        <w:jc w:val="left"/>
      </w:pPr>
      <w:r>
        <w:rPr>
          <w:b/>
          <w:sz w:val="24"/>
        </w:rPr>
        <w:t>3.4.3 Camada Gold — Modelo Dimensional</w:t>
      </w:r>
    </w:p>
    <w:p>
      <w:pPr>
        <w:ind w:firstLine="709"/>
        <w:jc w:val="both"/>
      </w:pPr>
      <w:r>
        <w:rPr>
          <w:sz w:val="24"/>
        </w:rPr>
        <w:t>A camada Gold organiza os dados refinados da camada Silver em um modelo dimensional Star Schema, otimizado para consultas analíticas no Power BI. O processo consiste em: (1) leitura das tabelas Silver; (2) construção das tabelas dimensão com chaves surrogate; (3) construção da tabela fato com resolução das chaves; (4) gravação em Delta Lake em data/analytical/gold/{tabela}/; (5) exportação para formatos compatíveis com Power BI.</w:t>
      </w:r>
    </w:p>
    <w:p>
      <w:pPr>
        <w:spacing w:before="240" w:after="120"/>
        <w:jc w:val="left"/>
      </w:pPr>
      <w:r>
        <w:rPr>
          <w:b/>
          <w:sz w:val="26"/>
        </w:rPr>
        <w:t>3.5 Modelo Dimensional — Star Schema</w:t>
      </w:r>
    </w:p>
    <w:p>
      <w:pPr>
        <w:ind w:firstLine="709"/>
        <w:jc w:val="both"/>
      </w:pPr>
      <w:r>
        <w:rPr>
          <w:sz w:val="24"/>
        </w:rPr>
        <w:t>O modelo dimensional implementado na camada Gold é composto por uma tabela fato central e quatro tabelas dimensão, conforme descrito abaixo.</w:t>
      </w:r>
    </w:p>
    <w:p>
      <w:pPr>
        <w:spacing w:before="240" w:after="120"/>
        <w:jc w:val="left"/>
      </w:pPr>
      <w:r>
        <w:rPr>
          <w:b/>
          <w:sz w:val="24"/>
        </w:rPr>
        <w:t>3.5.1 Tabela Fato: fato_vendas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Coluna</w:t>
            </w:r>
          </w:p>
        </w:tc>
        <w:tc>
          <w:tcPr>
            <w:tcW w:type="dxa" w:w="2880"/>
          </w:tcPr>
          <w:p>
            <w:pPr>
              <w:jc w:val="center"/>
            </w:pPr>
            <w:r>
              <w:rPr>
                <w:b/>
                <w:sz w:val="20"/>
              </w:rPr>
              <w:t>Tipo</w:t>
            </w:r>
          </w:p>
        </w:tc>
        <w:tc>
          <w:tcPr>
            <w:tcW w:type="dxa" w:w="2880"/>
          </w:tcPr>
          <w:p>
            <w:pPr>
              <w:jc w:val="center"/>
            </w:pPr>
            <w:r>
              <w:rPr>
                <w:b/>
                <w:sz w:val="20"/>
              </w:rPr>
              <w:t>Descrição</w:t>
            </w:r>
          </w:p>
        </w:tc>
      </w:tr>
      <w:tr>
        <w:tc>
          <w:tcPr>
            <w:tcW w:type="dxa" w:w="2880"/>
          </w:tcPr>
          <w:p>
            <w:r>
              <w:rPr>
                <w:sz w:val="20"/>
              </w:rPr>
              <w:t>id_fato</w:t>
            </w:r>
          </w:p>
        </w:tc>
        <w:tc>
          <w:tcPr>
            <w:tcW w:type="dxa" w:w="2880"/>
          </w:tcPr>
          <w:p>
            <w:r>
              <w:rPr>
                <w:sz w:val="20"/>
              </w:rPr>
              <w:t>BIGINT</w:t>
            </w:r>
          </w:p>
        </w:tc>
        <w:tc>
          <w:tcPr>
            <w:tcW w:type="dxa" w:w="2880"/>
          </w:tcPr>
          <w:p>
            <w:r>
              <w:rPr>
                <w:sz w:val="20"/>
              </w:rPr>
              <w:t>Chave surrogate da linha</w:t>
            </w:r>
          </w:p>
        </w:tc>
      </w:tr>
      <w:tr>
        <w:tc>
          <w:tcPr>
            <w:tcW w:type="dxa" w:w="2880"/>
          </w:tcPr>
          <w:p>
            <w:r>
              <w:rPr>
                <w:sz w:val="20"/>
              </w:rPr>
              <w:t>id_cliente</w:t>
            </w:r>
          </w:p>
        </w:tc>
        <w:tc>
          <w:tcPr>
            <w:tcW w:type="dxa" w:w="2880"/>
          </w:tcPr>
          <w:p>
            <w:r>
              <w:rPr>
                <w:sz w:val="20"/>
              </w:rPr>
              <w:t>INT</w:t>
            </w:r>
          </w:p>
        </w:tc>
        <w:tc>
          <w:tcPr>
            <w:tcW w:type="dxa" w:w="2880"/>
          </w:tcPr>
          <w:p>
            <w:r>
              <w:rPr>
                <w:sz w:val="20"/>
              </w:rPr>
              <w:t>FK → dim_cliente</w:t>
            </w:r>
          </w:p>
        </w:tc>
      </w:tr>
      <w:tr>
        <w:tc>
          <w:tcPr>
            <w:tcW w:type="dxa" w:w="2880"/>
          </w:tcPr>
          <w:p>
            <w:r>
              <w:rPr>
                <w:sz w:val="20"/>
              </w:rPr>
              <w:t>id_produto</w:t>
            </w:r>
          </w:p>
        </w:tc>
        <w:tc>
          <w:tcPr>
            <w:tcW w:type="dxa" w:w="2880"/>
          </w:tcPr>
          <w:p>
            <w:r>
              <w:rPr>
                <w:sz w:val="20"/>
              </w:rPr>
              <w:t>INT</w:t>
            </w:r>
          </w:p>
        </w:tc>
        <w:tc>
          <w:tcPr>
            <w:tcW w:type="dxa" w:w="2880"/>
          </w:tcPr>
          <w:p>
            <w:r>
              <w:rPr>
                <w:sz w:val="20"/>
              </w:rPr>
              <w:t>FK → dim_produto</w:t>
            </w:r>
          </w:p>
        </w:tc>
      </w:tr>
      <w:tr>
        <w:tc>
          <w:tcPr>
            <w:tcW w:type="dxa" w:w="2880"/>
          </w:tcPr>
          <w:p>
            <w:r>
              <w:rPr>
                <w:sz w:val="20"/>
              </w:rPr>
              <w:t>id_tempo</w:t>
            </w:r>
          </w:p>
        </w:tc>
        <w:tc>
          <w:tcPr>
            <w:tcW w:type="dxa" w:w="2880"/>
          </w:tcPr>
          <w:p>
            <w:r>
              <w:rPr>
                <w:sz w:val="20"/>
              </w:rPr>
              <w:t>INT</w:t>
            </w:r>
          </w:p>
        </w:tc>
        <w:tc>
          <w:tcPr>
            <w:tcW w:type="dxa" w:w="2880"/>
          </w:tcPr>
          <w:p>
            <w:r>
              <w:rPr>
                <w:sz w:val="20"/>
              </w:rPr>
              <w:t>FK → dim_tempo</w:t>
            </w:r>
          </w:p>
        </w:tc>
      </w:tr>
      <w:tr>
        <w:tc>
          <w:tcPr>
            <w:tcW w:type="dxa" w:w="2880"/>
          </w:tcPr>
          <w:p>
            <w:r>
              <w:rPr>
                <w:sz w:val="20"/>
              </w:rPr>
              <w:t>id_categoria</w:t>
            </w:r>
          </w:p>
        </w:tc>
        <w:tc>
          <w:tcPr>
            <w:tcW w:type="dxa" w:w="2880"/>
          </w:tcPr>
          <w:p>
            <w:r>
              <w:rPr>
                <w:sz w:val="20"/>
              </w:rPr>
              <w:t>INT</w:t>
            </w:r>
          </w:p>
        </w:tc>
        <w:tc>
          <w:tcPr>
            <w:tcW w:type="dxa" w:w="2880"/>
          </w:tcPr>
          <w:p>
            <w:r>
              <w:rPr>
                <w:sz w:val="20"/>
              </w:rPr>
              <w:t>FK → dim_categoria</w:t>
            </w:r>
          </w:p>
        </w:tc>
      </w:tr>
      <w:tr>
        <w:tc>
          <w:tcPr>
            <w:tcW w:type="dxa" w:w="2880"/>
          </w:tcPr>
          <w:p>
            <w:r>
              <w:rPr>
                <w:sz w:val="20"/>
              </w:rPr>
              <w:t>id_pedido</w:t>
            </w:r>
          </w:p>
        </w:tc>
        <w:tc>
          <w:tcPr>
            <w:tcW w:type="dxa" w:w="2880"/>
          </w:tcPr>
          <w:p>
            <w:r>
              <w:rPr>
                <w:sz w:val="20"/>
              </w:rPr>
              <w:t>STRING</w:t>
            </w:r>
          </w:p>
        </w:tc>
        <w:tc>
          <w:tcPr>
            <w:tcW w:type="dxa" w:w="2880"/>
          </w:tcPr>
          <w:p>
            <w:r>
              <w:rPr>
                <w:sz w:val="20"/>
              </w:rPr>
              <w:t>Chave de negócio do pedido</w:t>
            </w:r>
          </w:p>
        </w:tc>
      </w:tr>
      <w:tr>
        <w:tc>
          <w:tcPr>
            <w:tcW w:type="dxa" w:w="2880"/>
          </w:tcPr>
          <w:p>
            <w:r>
              <w:rPr>
                <w:sz w:val="20"/>
              </w:rPr>
              <w:t>quantidade</w:t>
            </w:r>
          </w:p>
        </w:tc>
        <w:tc>
          <w:tcPr>
            <w:tcW w:type="dxa" w:w="2880"/>
          </w:tcPr>
          <w:p>
            <w:r>
              <w:rPr>
                <w:sz w:val="20"/>
              </w:rPr>
              <w:t>INT</w:t>
            </w:r>
          </w:p>
        </w:tc>
        <w:tc>
          <w:tcPr>
            <w:tcW w:type="dxa" w:w="2880"/>
          </w:tcPr>
          <w:p>
            <w:r>
              <w:rPr>
                <w:sz w:val="20"/>
              </w:rPr>
              <w:t>Quantidade de itens vendidos</w:t>
            </w:r>
          </w:p>
        </w:tc>
      </w:tr>
      <w:tr>
        <w:tc>
          <w:tcPr>
            <w:tcW w:type="dxa" w:w="2880"/>
          </w:tcPr>
          <w:p>
            <w:r>
              <w:rPr>
                <w:sz w:val="20"/>
              </w:rPr>
              <w:t>valor_bruto</w:t>
            </w:r>
          </w:p>
        </w:tc>
        <w:tc>
          <w:tcPr>
            <w:tcW w:type="dxa" w:w="2880"/>
          </w:tcPr>
          <w:p>
            <w:r>
              <w:rPr>
                <w:sz w:val="20"/>
              </w:rPr>
              <w:t>DECIMAL(10,2)</w:t>
            </w:r>
          </w:p>
        </w:tc>
        <w:tc>
          <w:tcPr>
            <w:tcW w:type="dxa" w:w="2880"/>
          </w:tcPr>
          <w:p>
            <w:r>
              <w:rPr>
                <w:sz w:val="20"/>
              </w:rPr>
              <w:t>Valor sem desconto</w:t>
            </w:r>
          </w:p>
        </w:tc>
      </w:tr>
      <w:tr>
        <w:tc>
          <w:tcPr>
            <w:tcW w:type="dxa" w:w="2880"/>
          </w:tcPr>
          <w:p>
            <w:r>
              <w:rPr>
                <w:sz w:val="20"/>
              </w:rPr>
              <w:t>desconto</w:t>
            </w:r>
          </w:p>
        </w:tc>
        <w:tc>
          <w:tcPr>
            <w:tcW w:type="dxa" w:w="2880"/>
          </w:tcPr>
          <w:p>
            <w:r>
              <w:rPr>
                <w:sz w:val="20"/>
              </w:rPr>
              <w:t>DECIMAL(10,2)</w:t>
            </w:r>
          </w:p>
        </w:tc>
        <w:tc>
          <w:tcPr>
            <w:tcW w:type="dxa" w:w="2880"/>
          </w:tcPr>
          <w:p>
            <w:r>
              <w:rPr>
                <w:sz w:val="20"/>
              </w:rPr>
              <w:t>Valor do desconto aplicado</w:t>
            </w:r>
          </w:p>
        </w:tc>
      </w:tr>
      <w:tr>
        <w:tc>
          <w:tcPr>
            <w:tcW w:type="dxa" w:w="2880"/>
          </w:tcPr>
          <w:p>
            <w:r>
              <w:rPr>
                <w:sz w:val="20"/>
              </w:rPr>
              <w:t>valor_liquido</w:t>
            </w:r>
          </w:p>
        </w:tc>
        <w:tc>
          <w:tcPr>
            <w:tcW w:type="dxa" w:w="2880"/>
          </w:tcPr>
          <w:p>
            <w:r>
              <w:rPr>
                <w:sz w:val="20"/>
              </w:rPr>
              <w:t>DECIMAL(10,2)</w:t>
            </w:r>
          </w:p>
        </w:tc>
        <w:tc>
          <w:tcPr>
            <w:tcW w:type="dxa" w:w="2880"/>
          </w:tcPr>
          <w:p>
            <w:r>
              <w:rPr>
                <w:sz w:val="20"/>
              </w:rPr>
              <w:t>Valor final da venda</w:t>
            </w:r>
          </w:p>
        </w:tc>
      </w:tr>
      <w:tr>
        <w:tc>
          <w:tcPr>
            <w:tcW w:type="dxa" w:w="2880"/>
          </w:tcPr>
          <w:p>
            <w:r>
              <w:rPr>
                <w:sz w:val="20"/>
              </w:rPr>
              <w:t>metodo_pagamento</w:t>
            </w:r>
          </w:p>
        </w:tc>
        <w:tc>
          <w:tcPr>
            <w:tcW w:type="dxa" w:w="2880"/>
          </w:tcPr>
          <w:p>
            <w:r>
              <w:rPr>
                <w:sz w:val="20"/>
              </w:rPr>
              <w:t>STRING</w:t>
            </w:r>
          </w:p>
        </w:tc>
        <w:tc>
          <w:tcPr>
            <w:tcW w:type="dxa" w:w="2880"/>
          </w:tcPr>
          <w:p>
            <w:r>
              <w:rPr>
                <w:sz w:val="20"/>
              </w:rPr>
              <w:t>Forma de pagamento utilizada</w:t>
            </w:r>
          </w:p>
        </w:tc>
      </w:tr>
    </w:tbl>
    <w:p/>
    <w:p>
      <w:pPr>
        <w:spacing w:before="240" w:after="120"/>
        <w:jc w:val="left"/>
      </w:pPr>
      <w:r>
        <w:rPr>
          <w:b/>
          <w:sz w:val="24"/>
        </w:rPr>
        <w:t>3.5.2 Tabelas Dimensão</w:t>
      </w:r>
    </w:p>
    <w:p>
      <w:pPr>
        <w:ind w:firstLine="709"/>
        <w:jc w:val="both"/>
      </w:pPr>
      <w:r>
        <w:rPr>
          <w:sz w:val="24"/>
        </w:rPr>
        <w:t>dim_cliente — dados cadastrais do cliente: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Coluna</w:t>
            </w:r>
          </w:p>
        </w:tc>
        <w:tc>
          <w:tcPr>
            <w:tcW w:type="dxa" w:w="2880"/>
          </w:tcPr>
          <w:p>
            <w:pPr>
              <w:jc w:val="center"/>
            </w:pPr>
            <w:r>
              <w:rPr>
                <w:b/>
                <w:sz w:val="20"/>
              </w:rPr>
              <w:t>Tipo</w:t>
            </w:r>
          </w:p>
        </w:tc>
        <w:tc>
          <w:tcPr>
            <w:tcW w:type="dxa" w:w="2880"/>
          </w:tcPr>
          <w:p>
            <w:pPr>
              <w:jc w:val="center"/>
            </w:pPr>
            <w:r>
              <w:rPr>
                <w:b/>
                <w:sz w:val="20"/>
              </w:rPr>
              <w:t>Descrição</w:t>
            </w:r>
          </w:p>
        </w:tc>
      </w:tr>
      <w:tr>
        <w:tc>
          <w:tcPr>
            <w:tcW w:type="dxa" w:w="2880"/>
          </w:tcPr>
          <w:p>
            <w:r>
              <w:rPr>
                <w:sz w:val="20"/>
              </w:rPr>
              <w:t>id_cliente</w:t>
            </w:r>
          </w:p>
        </w:tc>
        <w:tc>
          <w:tcPr>
            <w:tcW w:type="dxa" w:w="2880"/>
          </w:tcPr>
          <w:p>
            <w:r>
              <w:rPr>
                <w:sz w:val="20"/>
              </w:rPr>
              <w:t>INT</w:t>
            </w:r>
          </w:p>
        </w:tc>
        <w:tc>
          <w:tcPr>
            <w:tcW w:type="dxa" w:w="2880"/>
          </w:tcPr>
          <w:p>
            <w:r>
              <w:rPr>
                <w:sz w:val="20"/>
              </w:rPr>
              <w:t>Chave surrogate</w:t>
            </w:r>
          </w:p>
        </w:tc>
      </w:tr>
      <w:tr>
        <w:tc>
          <w:tcPr>
            <w:tcW w:type="dxa" w:w="2880"/>
          </w:tcPr>
          <w:p>
            <w:r>
              <w:rPr>
                <w:sz w:val="20"/>
              </w:rPr>
              <w:t>nome</w:t>
            </w:r>
          </w:p>
        </w:tc>
        <w:tc>
          <w:tcPr>
            <w:tcW w:type="dxa" w:w="2880"/>
          </w:tcPr>
          <w:p>
            <w:r>
              <w:rPr>
                <w:sz w:val="20"/>
              </w:rPr>
              <w:t>STRING</w:t>
            </w:r>
          </w:p>
        </w:tc>
        <w:tc>
          <w:tcPr>
            <w:tcW w:type="dxa" w:w="2880"/>
          </w:tcPr>
          <w:p>
            <w:r>
              <w:rPr>
                <w:sz w:val="20"/>
              </w:rPr>
              <w:t>Nome do cliente</w:t>
            </w:r>
          </w:p>
        </w:tc>
      </w:tr>
      <w:tr>
        <w:tc>
          <w:tcPr>
            <w:tcW w:type="dxa" w:w="2880"/>
          </w:tcPr>
          <w:p>
            <w:r>
              <w:rPr>
                <w:sz w:val="20"/>
              </w:rPr>
              <w:t>cidade</w:t>
            </w:r>
          </w:p>
        </w:tc>
        <w:tc>
          <w:tcPr>
            <w:tcW w:type="dxa" w:w="2880"/>
          </w:tcPr>
          <w:p>
            <w:r>
              <w:rPr>
                <w:sz w:val="20"/>
              </w:rPr>
              <w:t>STRING</w:t>
            </w:r>
          </w:p>
        </w:tc>
        <w:tc>
          <w:tcPr>
            <w:tcW w:type="dxa" w:w="2880"/>
          </w:tcPr>
          <w:p>
            <w:r>
              <w:rPr>
                <w:sz w:val="20"/>
              </w:rPr>
              <w:t>Cidade de cadastro</w:t>
            </w:r>
          </w:p>
        </w:tc>
      </w:tr>
      <w:tr>
        <w:tc>
          <w:tcPr>
            <w:tcW w:type="dxa" w:w="2880"/>
          </w:tcPr>
          <w:p>
            <w:r>
              <w:rPr>
                <w:sz w:val="20"/>
              </w:rPr>
              <w:t>estado</w:t>
            </w:r>
          </w:p>
        </w:tc>
        <w:tc>
          <w:tcPr>
            <w:tcW w:type="dxa" w:w="2880"/>
          </w:tcPr>
          <w:p>
            <w:r>
              <w:rPr>
                <w:sz w:val="20"/>
              </w:rPr>
              <w:t>STRING</w:t>
            </w:r>
          </w:p>
        </w:tc>
        <w:tc>
          <w:tcPr>
            <w:tcW w:type="dxa" w:w="2880"/>
          </w:tcPr>
          <w:p>
            <w:r>
              <w:rPr>
                <w:sz w:val="20"/>
              </w:rPr>
              <w:t>UF</w:t>
            </w:r>
          </w:p>
        </w:tc>
      </w:tr>
      <w:tr>
        <w:tc>
          <w:tcPr>
            <w:tcW w:type="dxa" w:w="2880"/>
          </w:tcPr>
          <w:p>
            <w:r>
              <w:rPr>
                <w:sz w:val="20"/>
              </w:rPr>
              <w:t>regiao</w:t>
            </w:r>
          </w:p>
        </w:tc>
        <w:tc>
          <w:tcPr>
            <w:tcW w:type="dxa" w:w="2880"/>
          </w:tcPr>
          <w:p>
            <w:r>
              <w:rPr>
                <w:sz w:val="20"/>
              </w:rPr>
              <w:t>STRING</w:t>
            </w:r>
          </w:p>
        </w:tc>
        <w:tc>
          <w:tcPr>
            <w:tcW w:type="dxa" w:w="2880"/>
          </w:tcPr>
          <w:p>
            <w:r>
              <w:rPr>
                <w:sz w:val="20"/>
              </w:rPr>
              <w:t>Norte, Nordeste, Centro-Oeste, Sudeste, Sul</w:t>
            </w:r>
          </w:p>
        </w:tc>
      </w:tr>
      <w:tr>
        <w:tc>
          <w:tcPr>
            <w:tcW w:type="dxa" w:w="2880"/>
          </w:tcPr>
          <w:p>
            <w:r>
              <w:rPr>
                <w:sz w:val="20"/>
              </w:rPr>
              <w:t>segmento</w:t>
            </w:r>
          </w:p>
        </w:tc>
        <w:tc>
          <w:tcPr>
            <w:tcW w:type="dxa" w:w="2880"/>
          </w:tcPr>
          <w:p>
            <w:r>
              <w:rPr>
                <w:sz w:val="20"/>
              </w:rPr>
              <w:t>STRING</w:t>
            </w:r>
          </w:p>
        </w:tc>
        <w:tc>
          <w:tcPr>
            <w:tcW w:type="dxa" w:w="2880"/>
          </w:tcPr>
          <w:p>
            <w:r>
              <w:rPr>
                <w:sz w:val="20"/>
              </w:rPr>
              <w:t>Pessoa Física / Pessoa Jurídica</w:t>
            </w:r>
          </w:p>
        </w:tc>
      </w:tr>
    </w:tbl>
    <w:p/>
    <w:p>
      <w:pPr>
        <w:ind w:firstLine="709"/>
        <w:jc w:val="both"/>
      </w:pPr>
      <w:r>
        <w:rPr>
          <w:sz w:val="24"/>
        </w:rPr>
        <w:t>dim_produto — catálogo de produtos: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Coluna</w:t>
            </w:r>
          </w:p>
        </w:tc>
        <w:tc>
          <w:tcPr>
            <w:tcW w:type="dxa" w:w="2880"/>
          </w:tcPr>
          <w:p>
            <w:pPr>
              <w:jc w:val="center"/>
            </w:pPr>
            <w:r>
              <w:rPr>
                <w:b/>
                <w:sz w:val="20"/>
              </w:rPr>
              <w:t>Tipo</w:t>
            </w:r>
          </w:p>
        </w:tc>
        <w:tc>
          <w:tcPr>
            <w:tcW w:type="dxa" w:w="2880"/>
          </w:tcPr>
          <w:p>
            <w:pPr>
              <w:jc w:val="center"/>
            </w:pPr>
            <w:r>
              <w:rPr>
                <w:b/>
                <w:sz w:val="20"/>
              </w:rPr>
              <w:t>Descrição</w:t>
            </w:r>
          </w:p>
        </w:tc>
      </w:tr>
      <w:tr>
        <w:tc>
          <w:tcPr>
            <w:tcW w:type="dxa" w:w="2880"/>
          </w:tcPr>
          <w:p>
            <w:r>
              <w:rPr>
                <w:sz w:val="20"/>
              </w:rPr>
              <w:t>id_produto</w:t>
            </w:r>
          </w:p>
        </w:tc>
        <w:tc>
          <w:tcPr>
            <w:tcW w:type="dxa" w:w="2880"/>
          </w:tcPr>
          <w:p>
            <w:r>
              <w:rPr>
                <w:sz w:val="20"/>
              </w:rPr>
              <w:t>INT</w:t>
            </w:r>
          </w:p>
        </w:tc>
        <w:tc>
          <w:tcPr>
            <w:tcW w:type="dxa" w:w="2880"/>
          </w:tcPr>
          <w:p>
            <w:r>
              <w:rPr>
                <w:sz w:val="20"/>
              </w:rPr>
              <w:t>Chave surrogate</w:t>
            </w:r>
          </w:p>
        </w:tc>
      </w:tr>
      <w:tr>
        <w:tc>
          <w:tcPr>
            <w:tcW w:type="dxa" w:w="2880"/>
          </w:tcPr>
          <w:p>
            <w:r>
              <w:rPr>
                <w:sz w:val="20"/>
              </w:rPr>
              <w:t>nome_produto</w:t>
            </w:r>
          </w:p>
        </w:tc>
        <w:tc>
          <w:tcPr>
            <w:tcW w:type="dxa" w:w="2880"/>
          </w:tcPr>
          <w:p>
            <w:r>
              <w:rPr>
                <w:sz w:val="20"/>
              </w:rPr>
              <w:t>STRING</w:t>
            </w:r>
          </w:p>
        </w:tc>
        <w:tc>
          <w:tcPr>
            <w:tcW w:type="dxa" w:w="2880"/>
          </w:tcPr>
          <w:p>
            <w:r>
              <w:rPr>
                <w:sz w:val="20"/>
              </w:rPr>
              <w:t>Nome do produto</w:t>
            </w:r>
          </w:p>
        </w:tc>
      </w:tr>
      <w:tr>
        <w:tc>
          <w:tcPr>
            <w:tcW w:type="dxa" w:w="2880"/>
          </w:tcPr>
          <w:p>
            <w:r>
              <w:rPr>
                <w:sz w:val="20"/>
              </w:rPr>
              <w:t>preco_unitario</w:t>
            </w:r>
          </w:p>
        </w:tc>
        <w:tc>
          <w:tcPr>
            <w:tcW w:type="dxa" w:w="2880"/>
          </w:tcPr>
          <w:p>
            <w:r>
              <w:rPr>
                <w:sz w:val="20"/>
              </w:rPr>
              <w:t>DECIMAL(10,2)</w:t>
            </w:r>
          </w:p>
        </w:tc>
        <w:tc>
          <w:tcPr>
            <w:tcW w:type="dxa" w:w="2880"/>
          </w:tcPr>
          <w:p>
            <w:r>
              <w:rPr>
                <w:sz w:val="20"/>
              </w:rPr>
              <w:t>Preço de referência</w:t>
            </w:r>
          </w:p>
        </w:tc>
      </w:tr>
      <w:tr>
        <w:tc>
          <w:tcPr>
            <w:tcW w:type="dxa" w:w="2880"/>
          </w:tcPr>
          <w:p>
            <w:r>
              <w:rPr>
                <w:sz w:val="20"/>
              </w:rPr>
              <w:t>id_categoria</w:t>
            </w:r>
          </w:p>
        </w:tc>
        <w:tc>
          <w:tcPr>
            <w:tcW w:type="dxa" w:w="2880"/>
          </w:tcPr>
          <w:p>
            <w:r>
              <w:rPr>
                <w:sz w:val="20"/>
              </w:rPr>
              <w:t>INT</w:t>
            </w:r>
          </w:p>
        </w:tc>
        <w:tc>
          <w:tcPr>
            <w:tcW w:type="dxa" w:w="2880"/>
          </w:tcPr>
          <w:p>
            <w:r>
              <w:rPr>
                <w:sz w:val="20"/>
              </w:rPr>
              <w:t>FK → dim_categoria</w:t>
            </w:r>
          </w:p>
        </w:tc>
      </w:tr>
    </w:tbl>
    <w:p/>
    <w:p>
      <w:pPr>
        <w:ind w:firstLine="709"/>
        <w:jc w:val="both"/>
      </w:pPr>
      <w:r>
        <w:rPr>
          <w:sz w:val="24"/>
        </w:rPr>
        <w:t>dim_tempo — calendário analítico:</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Coluna</w:t>
            </w:r>
          </w:p>
        </w:tc>
        <w:tc>
          <w:tcPr>
            <w:tcW w:type="dxa" w:w="2880"/>
          </w:tcPr>
          <w:p>
            <w:pPr>
              <w:jc w:val="center"/>
            </w:pPr>
            <w:r>
              <w:rPr>
                <w:b/>
                <w:sz w:val="20"/>
              </w:rPr>
              <w:t>Tipo</w:t>
            </w:r>
          </w:p>
        </w:tc>
        <w:tc>
          <w:tcPr>
            <w:tcW w:type="dxa" w:w="2880"/>
          </w:tcPr>
          <w:p>
            <w:pPr>
              <w:jc w:val="center"/>
            </w:pPr>
            <w:r>
              <w:rPr>
                <w:b/>
                <w:sz w:val="20"/>
              </w:rPr>
              <w:t>Descrição</w:t>
            </w:r>
          </w:p>
        </w:tc>
      </w:tr>
      <w:tr>
        <w:tc>
          <w:tcPr>
            <w:tcW w:type="dxa" w:w="2880"/>
          </w:tcPr>
          <w:p>
            <w:r>
              <w:rPr>
                <w:sz w:val="20"/>
              </w:rPr>
              <w:t>id_tempo</w:t>
            </w:r>
          </w:p>
        </w:tc>
        <w:tc>
          <w:tcPr>
            <w:tcW w:type="dxa" w:w="2880"/>
          </w:tcPr>
          <w:p>
            <w:r>
              <w:rPr>
                <w:sz w:val="20"/>
              </w:rPr>
              <w:t>INT</w:t>
            </w:r>
          </w:p>
        </w:tc>
        <w:tc>
          <w:tcPr>
            <w:tcW w:type="dxa" w:w="2880"/>
          </w:tcPr>
          <w:p>
            <w:r>
              <w:rPr>
                <w:sz w:val="20"/>
              </w:rPr>
              <w:t>Chave surrogate (YYYYMMDD)</w:t>
            </w:r>
          </w:p>
        </w:tc>
      </w:tr>
      <w:tr>
        <w:tc>
          <w:tcPr>
            <w:tcW w:type="dxa" w:w="2880"/>
          </w:tcPr>
          <w:p>
            <w:r>
              <w:rPr>
                <w:sz w:val="20"/>
              </w:rPr>
              <w:t>data</w:t>
            </w:r>
          </w:p>
        </w:tc>
        <w:tc>
          <w:tcPr>
            <w:tcW w:type="dxa" w:w="2880"/>
          </w:tcPr>
          <w:p>
            <w:r>
              <w:rPr>
                <w:sz w:val="20"/>
              </w:rPr>
              <w:t>DATE</w:t>
            </w:r>
          </w:p>
        </w:tc>
        <w:tc>
          <w:tcPr>
            <w:tcW w:type="dxa" w:w="2880"/>
          </w:tcPr>
          <w:p>
            <w:r>
              <w:rPr>
                <w:sz w:val="20"/>
              </w:rPr>
              <w:t>Data completa</w:t>
            </w:r>
          </w:p>
        </w:tc>
      </w:tr>
      <w:tr>
        <w:tc>
          <w:tcPr>
            <w:tcW w:type="dxa" w:w="2880"/>
          </w:tcPr>
          <w:p>
            <w:r>
              <w:rPr>
                <w:sz w:val="20"/>
              </w:rPr>
              <w:t>dia</w:t>
            </w:r>
          </w:p>
        </w:tc>
        <w:tc>
          <w:tcPr>
            <w:tcW w:type="dxa" w:w="2880"/>
          </w:tcPr>
          <w:p>
            <w:r>
              <w:rPr>
                <w:sz w:val="20"/>
              </w:rPr>
              <w:t>INT</w:t>
            </w:r>
          </w:p>
        </w:tc>
        <w:tc>
          <w:tcPr>
            <w:tcW w:type="dxa" w:w="2880"/>
          </w:tcPr>
          <w:p>
            <w:r>
              <w:rPr>
                <w:sz w:val="20"/>
              </w:rPr>
              <w:t>Dia do mês</w:t>
            </w:r>
          </w:p>
        </w:tc>
      </w:tr>
      <w:tr>
        <w:tc>
          <w:tcPr>
            <w:tcW w:type="dxa" w:w="2880"/>
          </w:tcPr>
          <w:p>
            <w:r>
              <w:rPr>
                <w:sz w:val="20"/>
              </w:rPr>
              <w:t>mes</w:t>
            </w:r>
          </w:p>
        </w:tc>
        <w:tc>
          <w:tcPr>
            <w:tcW w:type="dxa" w:w="2880"/>
          </w:tcPr>
          <w:p>
            <w:r>
              <w:rPr>
                <w:sz w:val="20"/>
              </w:rPr>
              <w:t>INT</w:t>
            </w:r>
          </w:p>
        </w:tc>
        <w:tc>
          <w:tcPr>
            <w:tcW w:type="dxa" w:w="2880"/>
          </w:tcPr>
          <w:p>
            <w:r>
              <w:rPr>
                <w:sz w:val="20"/>
              </w:rPr>
              <w:t>Mês (1–12)</w:t>
            </w:r>
          </w:p>
        </w:tc>
      </w:tr>
      <w:tr>
        <w:tc>
          <w:tcPr>
            <w:tcW w:type="dxa" w:w="2880"/>
          </w:tcPr>
          <w:p>
            <w:r>
              <w:rPr>
                <w:sz w:val="20"/>
              </w:rPr>
              <w:t>nome_mes</w:t>
            </w:r>
          </w:p>
        </w:tc>
        <w:tc>
          <w:tcPr>
            <w:tcW w:type="dxa" w:w="2880"/>
          </w:tcPr>
          <w:p>
            <w:r>
              <w:rPr>
                <w:sz w:val="20"/>
              </w:rPr>
              <w:t>STRING</w:t>
            </w:r>
          </w:p>
        </w:tc>
        <w:tc>
          <w:tcPr>
            <w:tcW w:type="dxa" w:w="2880"/>
          </w:tcPr>
          <w:p>
            <w:r>
              <w:rPr>
                <w:sz w:val="20"/>
              </w:rPr>
              <w:t>Janeiro, Fevereiro…</w:t>
            </w:r>
          </w:p>
        </w:tc>
      </w:tr>
      <w:tr>
        <w:tc>
          <w:tcPr>
            <w:tcW w:type="dxa" w:w="2880"/>
          </w:tcPr>
          <w:p>
            <w:r>
              <w:rPr>
                <w:sz w:val="20"/>
              </w:rPr>
              <w:t>trimestre</w:t>
            </w:r>
          </w:p>
        </w:tc>
        <w:tc>
          <w:tcPr>
            <w:tcW w:type="dxa" w:w="2880"/>
          </w:tcPr>
          <w:p>
            <w:r>
              <w:rPr>
                <w:sz w:val="20"/>
              </w:rPr>
              <w:t>INT</w:t>
            </w:r>
          </w:p>
        </w:tc>
        <w:tc>
          <w:tcPr>
            <w:tcW w:type="dxa" w:w="2880"/>
          </w:tcPr>
          <w:p>
            <w:r>
              <w:rPr>
                <w:sz w:val="20"/>
              </w:rPr>
              <w:t>Trimestre (1–4)</w:t>
            </w:r>
          </w:p>
        </w:tc>
      </w:tr>
      <w:tr>
        <w:tc>
          <w:tcPr>
            <w:tcW w:type="dxa" w:w="2880"/>
          </w:tcPr>
          <w:p>
            <w:r>
              <w:rPr>
                <w:sz w:val="20"/>
              </w:rPr>
              <w:t>ano</w:t>
            </w:r>
          </w:p>
        </w:tc>
        <w:tc>
          <w:tcPr>
            <w:tcW w:type="dxa" w:w="2880"/>
          </w:tcPr>
          <w:p>
            <w:r>
              <w:rPr>
                <w:sz w:val="20"/>
              </w:rPr>
              <w:t>INT</w:t>
            </w:r>
          </w:p>
        </w:tc>
        <w:tc>
          <w:tcPr>
            <w:tcW w:type="dxa" w:w="2880"/>
          </w:tcPr>
          <w:p>
            <w:r>
              <w:rPr>
                <w:sz w:val="20"/>
              </w:rPr>
              <w:t>Ano</w:t>
            </w:r>
          </w:p>
        </w:tc>
      </w:tr>
      <w:tr>
        <w:tc>
          <w:tcPr>
            <w:tcW w:type="dxa" w:w="2880"/>
          </w:tcPr>
          <w:p>
            <w:r>
              <w:rPr>
                <w:sz w:val="20"/>
              </w:rPr>
              <w:t>dia_semana</w:t>
            </w:r>
          </w:p>
        </w:tc>
        <w:tc>
          <w:tcPr>
            <w:tcW w:type="dxa" w:w="2880"/>
          </w:tcPr>
          <w:p>
            <w:r>
              <w:rPr>
                <w:sz w:val="20"/>
              </w:rPr>
              <w:t>STRING</w:t>
            </w:r>
          </w:p>
        </w:tc>
        <w:tc>
          <w:tcPr>
            <w:tcW w:type="dxa" w:w="2880"/>
          </w:tcPr>
          <w:p>
            <w:r>
              <w:rPr>
                <w:sz w:val="20"/>
              </w:rPr>
              <w:t>Segunda, Terça…</w:t>
            </w:r>
          </w:p>
        </w:tc>
      </w:tr>
      <w:tr>
        <w:tc>
          <w:tcPr>
            <w:tcW w:type="dxa" w:w="2880"/>
          </w:tcPr>
          <w:p>
            <w:r>
              <w:rPr>
                <w:sz w:val="20"/>
              </w:rPr>
              <w:t>flag_fim_semana</w:t>
            </w:r>
          </w:p>
        </w:tc>
        <w:tc>
          <w:tcPr>
            <w:tcW w:type="dxa" w:w="2880"/>
          </w:tcPr>
          <w:p>
            <w:r>
              <w:rPr>
                <w:sz w:val="20"/>
              </w:rPr>
              <w:t>BOOLEAN</w:t>
            </w:r>
          </w:p>
        </w:tc>
        <w:tc>
          <w:tcPr>
            <w:tcW w:type="dxa" w:w="2880"/>
          </w:tcPr>
          <w:p>
            <w:r>
              <w:rPr>
                <w:sz w:val="20"/>
              </w:rPr>
              <w:t>Sábado ou domingo</w:t>
            </w:r>
          </w:p>
        </w:tc>
      </w:tr>
    </w:tbl>
    <w:p/>
    <w:p>
      <w:pPr>
        <w:ind w:firstLine="709"/>
        <w:jc w:val="both"/>
      </w:pPr>
      <w:r>
        <w:rPr>
          <w:sz w:val="24"/>
        </w:rPr>
        <w:t>dim_categoria — hierarquia de categorias: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Coluna</w:t>
            </w:r>
          </w:p>
        </w:tc>
        <w:tc>
          <w:tcPr>
            <w:tcW w:type="dxa" w:w="2880"/>
          </w:tcPr>
          <w:p>
            <w:pPr>
              <w:jc w:val="center"/>
            </w:pPr>
            <w:r>
              <w:rPr>
                <w:b/>
                <w:sz w:val="20"/>
              </w:rPr>
              <w:t>Tipo</w:t>
            </w:r>
          </w:p>
        </w:tc>
        <w:tc>
          <w:tcPr>
            <w:tcW w:type="dxa" w:w="2880"/>
          </w:tcPr>
          <w:p>
            <w:pPr>
              <w:jc w:val="center"/>
            </w:pPr>
            <w:r>
              <w:rPr>
                <w:b/>
                <w:sz w:val="20"/>
              </w:rPr>
              <w:t>Descrição</w:t>
            </w:r>
          </w:p>
        </w:tc>
      </w:tr>
      <w:tr>
        <w:tc>
          <w:tcPr>
            <w:tcW w:type="dxa" w:w="2880"/>
          </w:tcPr>
          <w:p>
            <w:r>
              <w:rPr>
                <w:sz w:val="20"/>
              </w:rPr>
              <w:t>id_categoria</w:t>
            </w:r>
          </w:p>
        </w:tc>
        <w:tc>
          <w:tcPr>
            <w:tcW w:type="dxa" w:w="2880"/>
          </w:tcPr>
          <w:p>
            <w:r>
              <w:rPr>
                <w:sz w:val="20"/>
              </w:rPr>
              <w:t>INT</w:t>
            </w:r>
          </w:p>
        </w:tc>
        <w:tc>
          <w:tcPr>
            <w:tcW w:type="dxa" w:w="2880"/>
          </w:tcPr>
          <w:p>
            <w:r>
              <w:rPr>
                <w:sz w:val="20"/>
              </w:rPr>
              <w:t>Chave surrogate</w:t>
            </w:r>
          </w:p>
        </w:tc>
      </w:tr>
      <w:tr>
        <w:tc>
          <w:tcPr>
            <w:tcW w:type="dxa" w:w="2880"/>
          </w:tcPr>
          <w:p>
            <w:r>
              <w:rPr>
                <w:sz w:val="20"/>
              </w:rPr>
              <w:t>nome_categoria</w:t>
            </w:r>
          </w:p>
        </w:tc>
        <w:tc>
          <w:tcPr>
            <w:tcW w:type="dxa" w:w="2880"/>
          </w:tcPr>
          <w:p>
            <w:r>
              <w:rPr>
                <w:sz w:val="20"/>
              </w:rPr>
              <w:t>STRING</w:t>
            </w:r>
          </w:p>
        </w:tc>
        <w:tc>
          <w:tcPr>
            <w:tcW w:type="dxa" w:w="2880"/>
          </w:tcPr>
          <w:p>
            <w:r>
              <w:rPr>
                <w:sz w:val="20"/>
              </w:rPr>
              <w:t>Nome da categoria</w:t>
            </w:r>
          </w:p>
        </w:tc>
      </w:tr>
      <w:tr>
        <w:tc>
          <w:tcPr>
            <w:tcW w:type="dxa" w:w="2880"/>
          </w:tcPr>
          <w:p>
            <w:r>
              <w:rPr>
                <w:sz w:val="20"/>
              </w:rPr>
              <w:t>descricao</w:t>
            </w:r>
          </w:p>
        </w:tc>
        <w:tc>
          <w:tcPr>
            <w:tcW w:type="dxa" w:w="2880"/>
          </w:tcPr>
          <w:p>
            <w:r>
              <w:rPr>
                <w:sz w:val="20"/>
              </w:rPr>
              <w:t>STRING</w:t>
            </w:r>
          </w:p>
        </w:tc>
        <w:tc>
          <w:tcPr>
            <w:tcW w:type="dxa" w:w="2880"/>
          </w:tcPr>
          <w:p>
            <w:r>
              <w:rPr>
                <w:sz w:val="20"/>
              </w:rPr>
              <w:t>Descrição da categoria</w:t>
            </w:r>
          </w:p>
        </w:tc>
      </w:tr>
    </w:tbl>
    <w:p/>
    <w:p>
      <w:pPr>
        <w:spacing w:before="240" w:after="120"/>
        <w:jc w:val="left"/>
      </w:pPr>
      <w:r>
        <w:rPr>
          <w:b/>
          <w:sz w:val="26"/>
        </w:rPr>
        <w:t>3.6 Modelo de Referência — Data Warehouse Convencional</w:t>
      </w:r>
    </w:p>
    <w:p>
      <w:pPr>
        <w:ind w:firstLine="709"/>
        <w:jc w:val="both"/>
      </w:pPr>
      <w:r>
        <w:rPr>
          <w:sz w:val="24"/>
        </w:rPr>
        <w:t>Para possibilitar a comparação empírica proposta na hipótese deste trabalho, é implementado um Data Warehouse de referência baseado em PostgreSQL, carregado via processo ETL tradicional (pandas + SQLAlchemy), sem os benefícios de particionamento Delta, otimização de arquivos ou suporte a ACID avançado. O DW de referência adota o mesmo Star Schema da camada Gold do Lakehouse, garantindo que a comparação seja isolada sobre as diferenças arquiteturais — e não sobre diferenças no modelo de dados.</w:t>
      </w:r>
    </w:p>
    <w:p>
      <w:pPr>
        <w:spacing w:before="240" w:after="120"/>
        <w:jc w:val="left"/>
      </w:pPr>
      <w:r>
        <w:rPr>
          <w:b/>
          <w:sz w:val="24"/>
        </w:rPr>
        <w:t>Quadro 7 — Comparação entre Lakehouse e DW de referência</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Característica</w:t>
            </w:r>
          </w:p>
        </w:tc>
        <w:tc>
          <w:tcPr>
            <w:tcW w:type="dxa" w:w="2880"/>
          </w:tcPr>
          <w:p>
            <w:pPr>
              <w:jc w:val="center"/>
            </w:pPr>
            <w:r>
              <w:rPr>
                <w:b/>
                <w:sz w:val="20"/>
              </w:rPr>
              <w:t>Lakehouse (Delta Lake)</w:t>
            </w:r>
          </w:p>
        </w:tc>
        <w:tc>
          <w:tcPr>
            <w:tcW w:type="dxa" w:w="2880"/>
          </w:tcPr>
          <w:p>
            <w:pPr>
              <w:jc w:val="center"/>
            </w:pPr>
            <w:r>
              <w:rPr>
                <w:b/>
                <w:sz w:val="20"/>
              </w:rPr>
              <w:t>DW Referência (PostgreSQL)</w:t>
            </w:r>
          </w:p>
        </w:tc>
      </w:tr>
      <w:tr>
        <w:tc>
          <w:tcPr>
            <w:tcW w:type="dxa" w:w="2880"/>
          </w:tcPr>
          <w:p>
            <w:r>
              <w:rPr>
                <w:sz w:val="20"/>
              </w:rPr>
              <w:t>Armazenamento</w:t>
            </w:r>
          </w:p>
        </w:tc>
        <w:tc>
          <w:tcPr>
            <w:tcW w:type="dxa" w:w="2880"/>
          </w:tcPr>
          <w:p>
            <w:r>
              <w:rPr>
                <w:sz w:val="20"/>
              </w:rPr>
              <w:t>Parquet + Delta Log (objeto)</w:t>
            </w:r>
          </w:p>
        </w:tc>
        <w:tc>
          <w:tcPr>
            <w:tcW w:type="dxa" w:w="2880"/>
          </w:tcPr>
          <w:p>
            <w:r>
              <w:rPr>
                <w:sz w:val="20"/>
              </w:rPr>
              <w:t>Tabelas relacionais em disco</w:t>
            </w:r>
          </w:p>
        </w:tc>
      </w:tr>
      <w:tr>
        <w:tc>
          <w:tcPr>
            <w:tcW w:type="dxa" w:w="2880"/>
          </w:tcPr>
          <w:p>
            <w:r>
              <w:rPr>
                <w:sz w:val="20"/>
              </w:rPr>
              <w:t>Garantias ACID</w:t>
            </w:r>
          </w:p>
        </w:tc>
        <w:tc>
          <w:tcPr>
            <w:tcW w:type="dxa" w:w="2880"/>
          </w:tcPr>
          <w:p>
            <w:r>
              <w:rPr>
                <w:sz w:val="20"/>
              </w:rPr>
              <w:t>Nativas (Delta Lake)</w:t>
            </w:r>
          </w:p>
        </w:tc>
        <w:tc>
          <w:tcPr>
            <w:tcW w:type="dxa" w:w="2880"/>
          </w:tcPr>
          <w:p>
            <w:r>
              <w:rPr>
                <w:sz w:val="20"/>
              </w:rPr>
              <w:t>Nativas (PostgreSQL)</w:t>
            </w:r>
          </w:p>
        </w:tc>
      </w:tr>
      <w:tr>
        <w:tc>
          <w:tcPr>
            <w:tcW w:type="dxa" w:w="2880"/>
          </w:tcPr>
          <w:p>
            <w:r>
              <w:rPr>
                <w:sz w:val="20"/>
              </w:rPr>
              <w:t>Esquema</w:t>
            </w:r>
          </w:p>
        </w:tc>
        <w:tc>
          <w:tcPr>
            <w:tcW w:type="dxa" w:w="2880"/>
          </w:tcPr>
          <w:p>
            <w:r>
              <w:rPr>
                <w:sz w:val="20"/>
              </w:rPr>
              <w:t>Evolução controlada</w:t>
            </w:r>
          </w:p>
        </w:tc>
        <w:tc>
          <w:tcPr>
            <w:tcW w:type="dxa" w:w="2880"/>
          </w:tcPr>
          <w:p>
            <w:r>
              <w:rPr>
                <w:sz w:val="20"/>
              </w:rPr>
              <w:t>Rígido (DDL explícito)</w:t>
            </w:r>
          </w:p>
        </w:tc>
      </w:tr>
      <w:tr>
        <w:tc>
          <w:tcPr>
            <w:tcW w:type="dxa" w:w="2880"/>
          </w:tcPr>
          <w:p>
            <w:r>
              <w:rPr>
                <w:sz w:val="20"/>
              </w:rPr>
              <w:t>Particionamento</w:t>
            </w:r>
          </w:p>
        </w:tc>
        <w:tc>
          <w:tcPr>
            <w:tcW w:type="dxa" w:w="2880"/>
          </w:tcPr>
          <w:p>
            <w:r>
              <w:rPr>
                <w:sz w:val="20"/>
              </w:rPr>
              <w:t>Automático por coluna</w:t>
            </w:r>
          </w:p>
        </w:tc>
        <w:tc>
          <w:tcPr>
            <w:tcW w:type="dxa" w:w="2880"/>
          </w:tcPr>
          <w:p>
            <w:r>
              <w:rPr>
                <w:sz w:val="20"/>
              </w:rPr>
              <w:t>Manual (índices)</w:t>
            </w:r>
          </w:p>
        </w:tc>
      </w:tr>
      <w:tr>
        <w:tc>
          <w:tcPr>
            <w:tcW w:type="dxa" w:w="2880"/>
          </w:tcPr>
          <w:p>
            <w:r>
              <w:rPr>
                <w:sz w:val="20"/>
              </w:rPr>
              <w:t>Integração com ML</w:t>
            </w:r>
          </w:p>
        </w:tc>
        <w:tc>
          <w:tcPr>
            <w:tcW w:type="dxa" w:w="2880"/>
          </w:tcPr>
          <w:p>
            <w:r>
              <w:rPr>
                <w:sz w:val="20"/>
              </w:rPr>
              <w:t>Nativa (Spark MLlib)</w:t>
            </w:r>
          </w:p>
        </w:tc>
        <w:tc>
          <w:tcPr>
            <w:tcW w:type="dxa" w:w="2880"/>
          </w:tcPr>
          <w:p>
            <w:r>
              <w:rPr>
                <w:sz w:val="20"/>
              </w:rPr>
              <w:t>Via exportação externa</w:t>
            </w:r>
          </w:p>
        </w:tc>
      </w:tr>
      <w:tr>
        <w:tc>
          <w:tcPr>
            <w:tcW w:type="dxa" w:w="2880"/>
          </w:tcPr>
          <w:p>
            <w:r>
              <w:rPr>
                <w:sz w:val="20"/>
              </w:rPr>
              <w:t>Custo de escala</w:t>
            </w:r>
          </w:p>
        </w:tc>
        <w:tc>
          <w:tcPr>
            <w:tcW w:type="dxa" w:w="2880"/>
          </w:tcPr>
          <w:p>
            <w:r>
              <w:rPr>
                <w:sz w:val="20"/>
              </w:rPr>
              <w:t>Linear (objeto store)</w:t>
            </w:r>
          </w:p>
        </w:tc>
        <w:tc>
          <w:tcPr>
            <w:tcW w:type="dxa" w:w="2880"/>
          </w:tcPr>
          <w:p>
            <w:r>
              <w:rPr>
                <w:sz w:val="20"/>
              </w:rPr>
              <w:t>Vertical (hardware)</w:t>
            </w:r>
          </w:p>
        </w:tc>
      </w:tr>
      <w:tr>
        <w:tc>
          <w:tcPr>
            <w:tcW w:type="dxa" w:w="2880"/>
          </w:tcPr>
          <w:p>
            <w:r>
              <w:rPr>
                <w:sz w:val="20"/>
              </w:rPr>
              <w:t>Versionamento</w:t>
            </w:r>
          </w:p>
        </w:tc>
        <w:tc>
          <w:tcPr>
            <w:tcW w:type="dxa" w:w="2880"/>
          </w:tcPr>
          <w:p>
            <w:r>
              <w:rPr>
                <w:sz w:val="20"/>
              </w:rPr>
              <w:t>Time travel nativo</w:t>
            </w:r>
          </w:p>
        </w:tc>
        <w:tc>
          <w:tcPr>
            <w:tcW w:type="dxa" w:w="2880"/>
          </w:tcPr>
          <w:p>
            <w:r>
              <w:rPr>
                <w:sz w:val="20"/>
              </w:rPr>
              <w:t>Inexistente</w:t>
            </w:r>
          </w:p>
        </w:tc>
      </w:tr>
    </w:tbl>
    <w:p/>
    <w:p>
      <w:pPr>
        <w:spacing w:before="240" w:after="120"/>
        <w:jc w:val="left"/>
      </w:pPr>
      <w:r>
        <w:rPr>
          <w:b/>
          <w:sz w:val="26"/>
        </w:rPr>
        <w:t>3.7 Protocolo de Avaliação</w:t>
      </w:r>
    </w:p>
    <w:p>
      <w:pPr>
        <w:ind w:firstLine="709"/>
        <w:jc w:val="both"/>
      </w:pPr>
      <w:r>
        <w:rPr>
          <w:sz w:val="24"/>
        </w:rPr>
        <w:t>A avaliação da arquitetura Lakehouse proposta será conduzida por meio de métricas objetivas, aplicadas em três dimensões: qualidade dos dados, desempenho de processamento e capacidade analítica.</w:t>
      </w:r>
    </w:p>
    <w:p>
      <w:pPr>
        <w:spacing w:before="240" w:after="120"/>
        <w:jc w:val="left"/>
      </w:pPr>
      <w:r>
        <w:rPr>
          <w:b/>
          <w:sz w:val="24"/>
        </w:rPr>
        <w:t>3.7.1 Métricas de Qualidade de Dados</w:t>
      </w:r>
    </w:p>
    <w:p>
      <w:pPr>
        <w:spacing w:before="240" w:after="120"/>
        <w:jc w:val="left"/>
      </w:pPr>
      <w:r>
        <w:rPr>
          <w:b/>
          <w:sz w:val="24"/>
        </w:rPr>
        <w:t>Quadro 8 — Métricas de qualidade e critérios de aceitação</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Métrica</w:t>
            </w:r>
          </w:p>
        </w:tc>
        <w:tc>
          <w:tcPr>
            <w:tcW w:type="dxa" w:w="2880"/>
          </w:tcPr>
          <w:p>
            <w:pPr>
              <w:jc w:val="center"/>
            </w:pPr>
            <w:r>
              <w:rPr>
                <w:b/>
                <w:sz w:val="20"/>
              </w:rPr>
              <w:t>Fórmula</w:t>
            </w:r>
          </w:p>
        </w:tc>
        <w:tc>
          <w:tcPr>
            <w:tcW w:type="dxa" w:w="2880"/>
          </w:tcPr>
          <w:p>
            <w:pPr>
              <w:jc w:val="center"/>
            </w:pPr>
            <w:r>
              <w:rPr>
                <w:b/>
                <w:sz w:val="20"/>
              </w:rPr>
              <w:t>Critério de Aceitação</w:t>
            </w:r>
          </w:p>
        </w:tc>
      </w:tr>
      <w:tr>
        <w:tc>
          <w:tcPr>
            <w:tcW w:type="dxa" w:w="2880"/>
          </w:tcPr>
          <w:p>
            <w:r>
              <w:rPr>
                <w:sz w:val="20"/>
              </w:rPr>
              <w:t>Completude</w:t>
            </w:r>
          </w:p>
        </w:tc>
        <w:tc>
          <w:tcPr>
            <w:tcW w:type="dxa" w:w="2880"/>
          </w:tcPr>
          <w:p>
            <w:r>
              <w:rPr>
                <w:sz w:val="20"/>
              </w:rPr>
              <w:t>registros_completos / total_esperado × 100</w:t>
            </w:r>
          </w:p>
        </w:tc>
        <w:tc>
          <w:tcPr>
            <w:tcW w:type="dxa" w:w="2880"/>
          </w:tcPr>
          <w:p>
            <w:r>
              <w:rPr>
                <w:sz w:val="20"/>
              </w:rPr>
              <w:t>≥ 95%</w:t>
            </w:r>
          </w:p>
        </w:tc>
      </w:tr>
      <w:tr>
        <w:tc>
          <w:tcPr>
            <w:tcW w:type="dxa" w:w="2880"/>
          </w:tcPr>
          <w:p>
            <w:r>
              <w:rPr>
                <w:sz w:val="20"/>
              </w:rPr>
              <w:t>Consistência</w:t>
            </w:r>
          </w:p>
        </w:tc>
        <w:tc>
          <w:tcPr>
            <w:tcW w:type="dxa" w:w="2880"/>
          </w:tcPr>
          <w:p>
            <w:r>
              <w:rPr>
                <w:sz w:val="20"/>
              </w:rPr>
              <w:t>registros_íntegros / total_bronze × 100</w:t>
            </w:r>
          </w:p>
        </w:tc>
        <w:tc>
          <w:tcPr>
            <w:tcW w:type="dxa" w:w="2880"/>
          </w:tcPr>
          <w:p>
            <w:r>
              <w:rPr>
                <w:sz w:val="20"/>
              </w:rPr>
              <w:t>≥ 98%</w:t>
            </w:r>
          </w:p>
        </w:tc>
      </w:tr>
      <w:tr>
        <w:tc>
          <w:tcPr>
            <w:tcW w:type="dxa" w:w="2880"/>
          </w:tcPr>
          <w:p>
            <w:r>
              <w:rPr>
                <w:sz w:val="20"/>
              </w:rPr>
              <w:t>Unicidade</w:t>
            </w:r>
          </w:p>
        </w:tc>
        <w:tc>
          <w:tcPr>
            <w:tcW w:type="dxa" w:w="2880"/>
          </w:tcPr>
          <w:p>
            <w:r>
              <w:rPr>
                <w:sz w:val="20"/>
              </w:rPr>
              <w:t>(total − duplicatas) / total × 100</w:t>
            </w:r>
          </w:p>
        </w:tc>
        <w:tc>
          <w:tcPr>
            <w:tcW w:type="dxa" w:w="2880"/>
          </w:tcPr>
          <w:p>
            <w:r>
              <w:rPr>
                <w:sz w:val="20"/>
              </w:rPr>
              <w:t>= 100%</w:t>
            </w:r>
          </w:p>
        </w:tc>
      </w:tr>
      <w:tr>
        <w:tc>
          <w:tcPr>
            <w:tcW w:type="dxa" w:w="2880"/>
          </w:tcPr>
          <w:p>
            <w:r>
              <w:rPr>
                <w:sz w:val="20"/>
              </w:rPr>
              <w:t>Acurácia de tipos</w:t>
            </w:r>
          </w:p>
        </w:tc>
        <w:tc>
          <w:tcPr>
            <w:tcW w:type="dxa" w:w="2880"/>
          </w:tcPr>
          <w:p>
            <w:r>
              <w:rPr>
                <w:sz w:val="20"/>
              </w:rPr>
              <w:t>campos_tipados_corretamente / total_campos × 100</w:t>
            </w:r>
          </w:p>
        </w:tc>
        <w:tc>
          <w:tcPr>
            <w:tcW w:type="dxa" w:w="2880"/>
          </w:tcPr>
          <w:p>
            <w:r>
              <w:rPr>
                <w:sz w:val="20"/>
              </w:rPr>
              <w:t>= 100%</w:t>
            </w:r>
          </w:p>
        </w:tc>
      </w:tr>
    </w:tbl>
    <w:p/>
    <w:p>
      <w:pPr>
        <w:spacing w:before="240" w:after="120"/>
        <w:jc w:val="left"/>
      </w:pPr>
      <w:r>
        <w:rPr>
          <w:b/>
          <w:sz w:val="24"/>
        </w:rPr>
        <w:t>3.7.2 Métricas de Desempenho</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Métrica</w:t>
            </w:r>
          </w:p>
        </w:tc>
        <w:tc>
          <w:tcPr>
            <w:tcW w:type="dxa" w:w="2880"/>
          </w:tcPr>
          <w:p>
            <w:pPr>
              <w:jc w:val="center"/>
            </w:pPr>
            <w:r>
              <w:rPr>
                <w:b/>
                <w:sz w:val="20"/>
              </w:rPr>
              <w:t>Instrumento de Medição</w:t>
            </w:r>
          </w:p>
        </w:tc>
        <w:tc>
          <w:tcPr>
            <w:tcW w:type="dxa" w:w="2880"/>
          </w:tcPr>
          <w:p>
            <w:pPr>
              <w:jc w:val="center"/>
            </w:pPr>
            <w:r>
              <w:rPr>
                <w:b/>
                <w:sz w:val="20"/>
              </w:rPr>
              <w:t>Objetivo</w:t>
            </w:r>
          </w:p>
        </w:tc>
      </w:tr>
      <w:tr>
        <w:tc>
          <w:tcPr>
            <w:tcW w:type="dxa" w:w="2880"/>
          </w:tcPr>
          <w:p>
            <w:r>
              <w:rPr>
                <w:sz w:val="20"/>
              </w:rPr>
              <w:t>Tempo de carga Bronze</w:t>
            </w:r>
          </w:p>
        </w:tc>
        <w:tc>
          <w:tcPr>
            <w:tcW w:type="dxa" w:w="2880"/>
          </w:tcPr>
          <w:p>
            <w:r>
              <w:rPr>
                <w:sz w:val="20"/>
              </w:rPr>
              <w:t>time.time() Python</w:t>
            </w:r>
          </w:p>
        </w:tc>
        <w:tc>
          <w:tcPr>
            <w:tcW w:type="dxa" w:w="2880"/>
          </w:tcPr>
          <w:p>
            <w:r>
              <w:rPr>
                <w:sz w:val="20"/>
              </w:rPr>
              <w:t>Referência base</w:t>
            </w:r>
          </w:p>
        </w:tc>
      </w:tr>
      <w:tr>
        <w:tc>
          <w:tcPr>
            <w:tcW w:type="dxa" w:w="2880"/>
          </w:tcPr>
          <w:p>
            <w:r>
              <w:rPr>
                <w:sz w:val="20"/>
              </w:rPr>
              <w:t>Tempo de transformação Silver</w:t>
            </w:r>
          </w:p>
        </w:tc>
        <w:tc>
          <w:tcPr>
            <w:tcW w:type="dxa" w:w="2880"/>
          </w:tcPr>
          <w:p>
            <w:r>
              <w:rPr>
                <w:sz w:val="20"/>
              </w:rPr>
              <w:t>Spark UI / time.time()</w:t>
            </w:r>
          </w:p>
        </w:tc>
        <w:tc>
          <w:tcPr>
            <w:tcW w:type="dxa" w:w="2880"/>
          </w:tcPr>
          <w:p>
            <w:r>
              <w:rPr>
                <w:sz w:val="20"/>
              </w:rPr>
              <w:t>Referência base</w:t>
            </w:r>
          </w:p>
        </w:tc>
      </w:tr>
      <w:tr>
        <w:tc>
          <w:tcPr>
            <w:tcW w:type="dxa" w:w="2880"/>
          </w:tcPr>
          <w:p>
            <w:r>
              <w:rPr>
                <w:sz w:val="20"/>
              </w:rPr>
              <w:t>Tempo de carga Gold</w:t>
            </w:r>
          </w:p>
        </w:tc>
        <w:tc>
          <w:tcPr>
            <w:tcW w:type="dxa" w:w="2880"/>
          </w:tcPr>
          <w:p>
            <w:r>
              <w:rPr>
                <w:sz w:val="20"/>
              </w:rPr>
              <w:t>time.time() Python</w:t>
            </w:r>
          </w:p>
        </w:tc>
        <w:tc>
          <w:tcPr>
            <w:tcW w:type="dxa" w:w="2880"/>
          </w:tcPr>
          <w:p>
            <w:r>
              <w:rPr>
                <w:sz w:val="20"/>
              </w:rPr>
              <w:t>Referência base</w:t>
            </w:r>
          </w:p>
        </w:tc>
      </w:tr>
      <w:tr>
        <w:tc>
          <w:tcPr>
            <w:tcW w:type="dxa" w:w="2880"/>
          </w:tcPr>
          <w:p>
            <w:r>
              <w:rPr>
                <w:sz w:val="20"/>
              </w:rPr>
              <w:t>Latência de consulta — Lakehouse</w:t>
            </w:r>
          </w:p>
        </w:tc>
        <w:tc>
          <w:tcPr>
            <w:tcW w:type="dxa" w:w="2880"/>
          </w:tcPr>
          <w:p>
            <w:r>
              <w:rPr>
                <w:sz w:val="20"/>
              </w:rPr>
              <w:t>Spark SQL EXPLAIN + tempo de execução</w:t>
            </w:r>
          </w:p>
        </w:tc>
        <w:tc>
          <w:tcPr>
            <w:tcW w:type="dxa" w:w="2880"/>
          </w:tcPr>
          <w:p>
            <w:r>
              <w:rPr>
                <w:sz w:val="20"/>
              </w:rPr>
              <w:t>≤ 1,5× DW referência</w:t>
            </w:r>
          </w:p>
        </w:tc>
      </w:tr>
      <w:tr>
        <w:tc>
          <w:tcPr>
            <w:tcW w:type="dxa" w:w="2880"/>
          </w:tcPr>
          <w:p>
            <w:r>
              <w:rPr>
                <w:sz w:val="20"/>
              </w:rPr>
              <w:t>Latência de consulta — DW ref.</w:t>
            </w:r>
          </w:p>
        </w:tc>
        <w:tc>
          <w:tcPr>
            <w:tcW w:type="dxa" w:w="2880"/>
          </w:tcPr>
          <w:p>
            <w:r>
              <w:rPr>
                <w:sz w:val="20"/>
              </w:rPr>
              <w:t>EXPLAIN ANALYZE PostgreSQL</w:t>
            </w:r>
          </w:p>
        </w:tc>
        <w:tc>
          <w:tcPr>
            <w:tcW w:type="dxa" w:w="2880"/>
          </w:tcPr>
          <w:p>
            <w:r>
              <w:rPr>
                <w:sz w:val="20"/>
              </w:rPr>
              <w:t>Referência base</w:t>
            </w:r>
          </w:p>
        </w:tc>
      </w:tr>
      <w:tr>
        <w:tc>
          <w:tcPr>
            <w:tcW w:type="dxa" w:w="2880"/>
          </w:tcPr>
          <w:p>
            <w:r>
              <w:rPr>
                <w:sz w:val="20"/>
              </w:rPr>
              <w:t>Tamanho por camada</w:t>
            </w:r>
          </w:p>
        </w:tc>
        <w:tc>
          <w:tcPr>
            <w:tcW w:type="dxa" w:w="2880"/>
          </w:tcPr>
          <w:p>
            <w:r>
              <w:rPr>
                <w:sz w:val="20"/>
              </w:rPr>
              <w:t>du -sh nos diretórios Delta</w:t>
            </w:r>
          </w:p>
        </w:tc>
        <w:tc>
          <w:tcPr>
            <w:tcW w:type="dxa" w:w="2880"/>
          </w:tcPr>
          <w:p>
            <w:r>
              <w:rPr>
                <w:sz w:val="20"/>
              </w:rPr>
              <w:t>Referência informativa</w:t>
            </w:r>
          </w:p>
        </w:tc>
      </w:tr>
    </w:tbl>
    <w:p/>
    <w:p>
      <w:pPr>
        <w:spacing w:before="240" w:after="120"/>
        <w:jc w:val="left"/>
      </w:pPr>
      <w:r>
        <w:rPr>
          <w:b/>
          <w:sz w:val="24"/>
        </w:rPr>
        <w:t>3.7.3 Indicadores de Negócio</w:t>
      </w:r>
    </w:p>
    <w:p>
      <w:pPr>
        <w:ind w:firstLine="709"/>
        <w:jc w:val="both"/>
      </w:pPr>
      <w:r>
        <w:rPr>
          <w:sz w:val="24"/>
        </w:rPr>
        <w:t>A capacidade analítica é avaliada pela geração bem-sucedida de cinco indicadores de negócio padrão de e-commerce, cada um implementado como query SQL sobre a camada Gold e validado no Power BI:</w:t>
      </w:r>
    </w:p>
    <w:p>
      <w:r>
        <w:t>1. Receita total por período (dia, mês, trimestre, ano)</w:t>
      </w:r>
    </w:p>
    <w:p>
      <w:r>
        <w:t>2. Ticket médio por cliente e por região</w:t>
      </w:r>
    </w:p>
    <w:p>
      <w:r>
        <w:t>3. Top 10 produtos mais vendidos por receita e por volume</w:t>
      </w:r>
    </w:p>
    <w:p>
      <w:r>
        <w:t>4. Taxa de desconto médio por categoria</w:t>
      </w:r>
    </w:p>
    <w:p>
      <w:r>
        <w:t>5. Distribuição de métodos de pagamento por período</w:t>
      </w:r>
    </w:p>
    <w:p>
      <w:pPr>
        <w:spacing w:before="240" w:after="120"/>
        <w:jc w:val="left"/>
      </w:pPr>
      <w:r>
        <w:rPr>
          <w:b/>
          <w:sz w:val="26"/>
        </w:rPr>
        <w:t>3.8 Cronograma de Execução</w:t>
      </w:r>
    </w:p>
    <w:p>
      <w:pPr>
        <w:spacing w:before="240" w:after="120"/>
        <w:jc w:val="left"/>
      </w:pPr>
      <w:r>
        <w:rPr>
          <w:b/>
          <w:sz w:val="24"/>
        </w:rPr>
        <w:t>Quadro 9 — Cronograma de desenvolvimento do TCC</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Etapa</w:t>
            </w:r>
          </w:p>
        </w:tc>
        <w:tc>
          <w:tcPr>
            <w:tcW w:type="dxa" w:w="2880"/>
          </w:tcPr>
          <w:p>
            <w:pPr>
              <w:jc w:val="center"/>
            </w:pPr>
            <w:r>
              <w:rPr>
                <w:b/>
                <w:sz w:val="20"/>
              </w:rPr>
              <w:t>Atividade</w:t>
            </w:r>
          </w:p>
        </w:tc>
        <w:tc>
          <w:tcPr>
            <w:tcW w:type="dxa" w:w="2880"/>
          </w:tcPr>
          <w:p>
            <w:pPr>
              <w:jc w:val="center"/>
            </w:pPr>
            <w:r>
              <w:rPr>
                <w:b/>
                <w:sz w:val="20"/>
              </w:rPr>
              <w:t>Período</w:t>
            </w:r>
          </w:p>
        </w:tc>
      </w:tr>
      <w:tr>
        <w:tc>
          <w:tcPr>
            <w:tcW w:type="dxa" w:w="2880"/>
          </w:tcPr>
          <w:p>
            <w:r>
              <w:rPr>
                <w:sz w:val="20"/>
              </w:rPr>
              <w:t>1</w:t>
            </w:r>
          </w:p>
        </w:tc>
        <w:tc>
          <w:tcPr>
            <w:tcW w:type="dxa" w:w="2880"/>
          </w:tcPr>
          <w:p>
            <w:r>
              <w:rPr>
                <w:sz w:val="20"/>
              </w:rPr>
              <w:t>Revisão bibliográfica e fundamentação teórica</w:t>
            </w:r>
          </w:p>
        </w:tc>
        <w:tc>
          <w:tcPr>
            <w:tcW w:type="dxa" w:w="2880"/>
          </w:tcPr>
          <w:p>
            <w:r>
              <w:rPr>
                <w:sz w:val="20"/>
              </w:rPr>
              <w:t>Março 2026</w:t>
            </w:r>
          </w:p>
        </w:tc>
      </w:tr>
      <w:tr>
        <w:tc>
          <w:tcPr>
            <w:tcW w:type="dxa" w:w="2880"/>
          </w:tcPr>
          <w:p>
            <w:r>
              <w:rPr>
                <w:sz w:val="20"/>
              </w:rPr>
              <w:t>2</w:t>
            </w:r>
          </w:p>
        </w:tc>
        <w:tc>
          <w:tcPr>
            <w:tcW w:type="dxa" w:w="2880"/>
          </w:tcPr>
          <w:p>
            <w:r>
              <w:rPr>
                <w:sz w:val="20"/>
              </w:rPr>
              <w:t>Projeto da API simuladora e do Star Schema</w:t>
            </w:r>
          </w:p>
        </w:tc>
        <w:tc>
          <w:tcPr>
            <w:tcW w:type="dxa" w:w="2880"/>
          </w:tcPr>
          <w:p>
            <w:r>
              <w:rPr>
                <w:sz w:val="20"/>
              </w:rPr>
              <w:t>Abril 2026</w:t>
            </w:r>
          </w:p>
        </w:tc>
      </w:tr>
      <w:tr>
        <w:tc>
          <w:tcPr>
            <w:tcW w:type="dxa" w:w="2880"/>
          </w:tcPr>
          <w:p>
            <w:r>
              <w:rPr>
                <w:sz w:val="20"/>
              </w:rPr>
              <w:t>3</w:t>
            </w:r>
          </w:p>
        </w:tc>
        <w:tc>
          <w:tcPr>
            <w:tcW w:type="dxa" w:w="2880"/>
          </w:tcPr>
          <w:p>
            <w:r>
              <w:rPr>
                <w:sz w:val="20"/>
              </w:rPr>
              <w:t>Implementação da API e camada Bronze</w:t>
            </w:r>
          </w:p>
        </w:tc>
        <w:tc>
          <w:tcPr>
            <w:tcW w:type="dxa" w:w="2880"/>
          </w:tcPr>
          <w:p>
            <w:r>
              <w:rPr>
                <w:sz w:val="20"/>
              </w:rPr>
              <w:t>Abril 2026</w:t>
            </w:r>
          </w:p>
        </w:tc>
      </w:tr>
      <w:tr>
        <w:tc>
          <w:tcPr>
            <w:tcW w:type="dxa" w:w="2880"/>
          </w:tcPr>
          <w:p>
            <w:r>
              <w:rPr>
                <w:sz w:val="20"/>
              </w:rPr>
              <w:t>4</w:t>
            </w:r>
          </w:p>
        </w:tc>
        <w:tc>
          <w:tcPr>
            <w:tcW w:type="dxa" w:w="2880"/>
          </w:tcPr>
          <w:p>
            <w:r>
              <w:rPr>
                <w:sz w:val="20"/>
              </w:rPr>
              <w:t>Implementação da camada Silver (regras de qualidade)</w:t>
            </w:r>
          </w:p>
        </w:tc>
        <w:tc>
          <w:tcPr>
            <w:tcW w:type="dxa" w:w="2880"/>
          </w:tcPr>
          <w:p>
            <w:r>
              <w:rPr>
                <w:sz w:val="20"/>
              </w:rPr>
              <w:t>Maio 2026</w:t>
            </w:r>
          </w:p>
        </w:tc>
      </w:tr>
      <w:tr>
        <w:tc>
          <w:tcPr>
            <w:tcW w:type="dxa" w:w="2880"/>
          </w:tcPr>
          <w:p>
            <w:r>
              <w:rPr>
                <w:sz w:val="20"/>
              </w:rPr>
              <w:t>5</w:t>
            </w:r>
          </w:p>
        </w:tc>
        <w:tc>
          <w:tcPr>
            <w:tcW w:type="dxa" w:w="2880"/>
          </w:tcPr>
          <w:p>
            <w:r>
              <w:rPr>
                <w:sz w:val="20"/>
              </w:rPr>
              <w:t>Implementação da camada Gold (Star Schema)</w:t>
            </w:r>
          </w:p>
        </w:tc>
        <w:tc>
          <w:tcPr>
            <w:tcW w:type="dxa" w:w="2880"/>
          </w:tcPr>
          <w:p>
            <w:r>
              <w:rPr>
                <w:sz w:val="20"/>
              </w:rPr>
              <w:t>Maio 2026</w:t>
            </w:r>
          </w:p>
        </w:tc>
      </w:tr>
      <w:tr>
        <w:tc>
          <w:tcPr>
            <w:tcW w:type="dxa" w:w="2880"/>
          </w:tcPr>
          <w:p>
            <w:r>
              <w:rPr>
                <w:sz w:val="20"/>
              </w:rPr>
              <w:t>6</w:t>
            </w:r>
          </w:p>
        </w:tc>
        <w:tc>
          <w:tcPr>
            <w:tcW w:type="dxa" w:w="2880"/>
          </w:tcPr>
          <w:p>
            <w:r>
              <w:rPr>
                <w:sz w:val="20"/>
              </w:rPr>
              <w:t>Implementação do DW de referência (PostgreSQL)</w:t>
            </w:r>
          </w:p>
        </w:tc>
        <w:tc>
          <w:tcPr>
            <w:tcW w:type="dxa" w:w="2880"/>
          </w:tcPr>
          <w:p>
            <w:r>
              <w:rPr>
                <w:sz w:val="20"/>
              </w:rPr>
              <w:t>Maio 2026</w:t>
            </w:r>
          </w:p>
        </w:tc>
      </w:tr>
      <w:tr>
        <w:tc>
          <w:tcPr>
            <w:tcW w:type="dxa" w:w="2880"/>
          </w:tcPr>
          <w:p>
            <w:r>
              <w:rPr>
                <w:sz w:val="20"/>
              </w:rPr>
              <w:t>7</w:t>
            </w:r>
          </w:p>
        </w:tc>
        <w:tc>
          <w:tcPr>
            <w:tcW w:type="dxa" w:w="2880"/>
          </w:tcPr>
          <w:p>
            <w:r>
              <w:rPr>
                <w:sz w:val="20"/>
              </w:rPr>
              <w:t>Desenvolvimento do painel Power BI</w:t>
            </w:r>
          </w:p>
        </w:tc>
        <w:tc>
          <w:tcPr>
            <w:tcW w:type="dxa" w:w="2880"/>
          </w:tcPr>
          <w:p>
            <w:r>
              <w:rPr>
                <w:sz w:val="20"/>
              </w:rPr>
              <w:t>Junho 2026</w:t>
            </w:r>
          </w:p>
        </w:tc>
      </w:tr>
      <w:tr>
        <w:tc>
          <w:tcPr>
            <w:tcW w:type="dxa" w:w="2880"/>
          </w:tcPr>
          <w:p>
            <w:r>
              <w:rPr>
                <w:sz w:val="20"/>
              </w:rPr>
              <w:t>8</w:t>
            </w:r>
          </w:p>
        </w:tc>
        <w:tc>
          <w:tcPr>
            <w:tcW w:type="dxa" w:w="2880"/>
          </w:tcPr>
          <w:p>
            <w:r>
              <w:rPr>
                <w:sz w:val="20"/>
              </w:rPr>
              <w:t>Coleta e análise das métricas de avaliação</w:t>
            </w:r>
          </w:p>
        </w:tc>
        <w:tc>
          <w:tcPr>
            <w:tcW w:type="dxa" w:w="2880"/>
          </w:tcPr>
          <w:p>
            <w:r>
              <w:rPr>
                <w:sz w:val="20"/>
              </w:rPr>
              <w:t>Junho 2026</w:t>
            </w:r>
          </w:p>
        </w:tc>
      </w:tr>
      <w:tr>
        <w:tc>
          <w:tcPr>
            <w:tcW w:type="dxa" w:w="2880"/>
          </w:tcPr>
          <w:p>
            <w:r>
              <w:rPr>
                <w:sz w:val="20"/>
              </w:rPr>
              <w:t>9</w:t>
            </w:r>
          </w:p>
        </w:tc>
        <w:tc>
          <w:tcPr>
            <w:tcW w:type="dxa" w:w="2880"/>
          </w:tcPr>
          <w:p>
            <w:r>
              <w:rPr>
                <w:sz w:val="20"/>
              </w:rPr>
              <w:t>Redação dos capítulos de resultados e conclusões</w:t>
            </w:r>
          </w:p>
        </w:tc>
        <w:tc>
          <w:tcPr>
            <w:tcW w:type="dxa" w:w="2880"/>
          </w:tcPr>
          <w:p>
            <w:r>
              <w:rPr>
                <w:sz w:val="20"/>
              </w:rPr>
              <w:t>Julho 2026</w:t>
            </w:r>
          </w:p>
        </w:tc>
      </w:tr>
      <w:tr>
        <w:tc>
          <w:tcPr>
            <w:tcW w:type="dxa" w:w="2880"/>
          </w:tcPr>
          <w:p>
            <w:r>
              <w:rPr>
                <w:sz w:val="20"/>
              </w:rPr>
              <w:t>10</w:t>
            </w:r>
          </w:p>
        </w:tc>
        <w:tc>
          <w:tcPr>
            <w:tcW w:type="dxa" w:w="2880"/>
          </w:tcPr>
          <w:p>
            <w:r>
              <w:rPr>
                <w:sz w:val="20"/>
              </w:rPr>
              <w:t>Revisão final e entrega do TCC</w:t>
            </w:r>
          </w:p>
        </w:tc>
        <w:tc>
          <w:tcPr>
            <w:tcW w:type="dxa" w:w="2880"/>
          </w:tcPr>
          <w:p>
            <w:r>
              <w:rPr>
                <w:sz w:val="20"/>
              </w:rPr>
              <w:t>Agosto 2026</w:t>
            </w:r>
          </w:p>
        </w:tc>
      </w:tr>
    </w:tbl>
    <w:p/>
    <w:p>
      <w:r>
        <w:br w:type="page"/>
      </w:r>
    </w:p>
    <w:p>
      <w:pPr>
        <w:spacing w:before="240" w:after="120"/>
        <w:jc w:val="left"/>
      </w:pPr>
      <w:r>
        <w:rPr>
          <w:b/>
          <w:sz w:val="26"/>
        </w:rPr>
        <w:t>Referências Adicionais — Capítulo 3</w:t>
      </w:r>
    </w:p>
    <w:p>
      <w:pPr>
        <w:jc w:val="both"/>
      </w:pPr>
      <w:r>
        <w:rPr>
          <w:sz w:val="24"/>
        </w:rPr>
        <w:t>GIL, Antonio Carlos. Como elaborar projetos de pesquisa. 6. ed. São Paulo: Atlas, 2002.</w:t>
      </w:r>
    </w:p>
    <w:p>
      <w:pPr>
        <w:jc w:val="both"/>
      </w:pPr>
      <w:r>
        <w:rPr>
          <w:sz w:val="24"/>
        </w:rPr>
        <w:t>YIN, Robert K. Estudo de caso: planejamento e métodos. 5. ed. Porto Alegre: Bookman,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