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r-mo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b/>
          <w:color w:val="015B66"/>
          <w:sz w:val="52"/>
        </w:rPr>
        <w:t>Dr. Moo — Diagrama de classes</w:t>
      </w:r>
    </w:p>
    <w:p>
      <w:pPr>
        <w:jc w:val="center"/>
      </w:pPr>
      <w:r>
        <w:rPr>
          <w:rFonts w:ascii="Segoe UI" w:hAnsi="Segoe UI"/>
          <w:color w:val="424E57"/>
          <w:sz w:val="24"/>
        </w:rPr>
        <w:t>Modelo de domínio, motor de inferência e serviços de aplicação</w:t>
      </w:r>
    </w:p>
    <w:p>
      <w:pPr>
        <w:jc w:val="center"/>
      </w:pPr>
      <w:r>
        <w:rPr>
          <w:rFonts w:ascii="Segoe UI" w:hAnsi="Segoe UI"/>
          <w:color w:val="7A858D"/>
          <w:sz w:val="18"/>
        </w:rPr>
        <w:t>Hackathon UFJF 2026 · gerado a partir do código por scripts/gerar_diagrama_classes.py</w:t>
      </w:r>
    </w:p>
    <w:p>
      <w:r>
        <w:br w:type="page"/>
      </w:r>
    </w:p>
    <w:p>
      <w:pPr>
        <w:pStyle w:val="Heading1"/>
      </w:pPr>
      <w:r>
        <w:t>Domínio persistido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5386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domin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386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Motor de inferência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6001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mo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600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Serviços de aplicação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6143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servic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614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Como ler o diagrama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553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Traço</w:t>
            </w:r>
          </w:p>
        </w:tc>
        <w:tc>
          <w:tcPr>
            <w:tcW w:type="dxa" w:w="7553"/>
            <w:shd w:val="clear" w:color="auto" w:fill="015B6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7553"/>
          </w:tcPr>
          <w:p>
            <w:pPr>
              <w:spacing w:after="40"/>
            </w:pPr>
            <w:r/>
            <w:r>
              <w:rPr>
                <w:sz w:val="18"/>
              </w:rPr>
              <w:t>Linha cheia com ponta fechada</w:t>
            </w:r>
          </w:p>
        </w:tc>
        <w:tc>
          <w:tcPr>
            <w:tcW w:type="dxa" w:w="7553"/>
          </w:tcPr>
          <w:p>
            <w:pPr>
              <w:spacing w:after="40"/>
            </w:pPr>
            <w:r/>
            <w:r>
              <w:rPr>
                <w:sz w:val="18"/>
              </w:rPr>
              <w:t>composição: a parte não existe sem o todo (um exame pertence a um animal)</w:t>
            </w:r>
          </w:p>
        </w:tc>
      </w:tr>
      <w:tr>
        <w:tc>
          <w:tcPr>
            <w:tcW w:type="dxa" w:w="755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Linha cheia com ponta aberta</w:t>
            </w:r>
          </w:p>
        </w:tc>
        <w:tc>
          <w:tcPr>
            <w:tcW w:type="dxa" w:w="755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associação: uma classe conhece a outra</w:t>
            </w:r>
          </w:p>
        </w:tc>
      </w:tr>
      <w:tr>
        <w:tc>
          <w:tcPr>
            <w:tcW w:type="dxa" w:w="7553"/>
          </w:tcPr>
          <w:p>
            <w:pPr>
              <w:spacing w:after="40"/>
            </w:pPr>
            <w:r/>
            <w:r>
              <w:rPr>
                <w:sz w:val="18"/>
              </w:rPr>
              <w:t>Linha tracejada</w:t>
            </w:r>
          </w:p>
        </w:tc>
        <w:tc>
          <w:tcPr>
            <w:tcW w:type="dxa" w:w="7553"/>
          </w:tcPr>
          <w:p>
            <w:pPr>
              <w:spacing w:after="40"/>
            </w:pPr>
            <w:r/>
            <w:r>
              <w:rPr>
                <w:sz w:val="18"/>
              </w:rPr>
              <w:t>dependência: uma usa a outra sem guardar referência</w:t>
            </w:r>
          </w:p>
        </w:tc>
      </w:tr>
      <w:tr>
        <w:tc>
          <w:tcPr>
            <w:tcW w:type="dxa" w:w="755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Ponta fechada partindo de uma «porta»</w:t>
            </w:r>
          </w:p>
        </w:tc>
        <w:tc>
          <w:tcPr>
            <w:tcW w:type="dxa" w:w="7553"/>
            <w:shd w:val="clear" w:color="auto" w:fill="F6F7F8"/>
          </w:tcPr>
          <w:p>
            <w:pPr>
              <w:spacing w:after="40"/>
            </w:pPr>
            <w:r/>
            <w:r>
              <w:rPr>
                <w:sz w:val="18"/>
              </w:rPr>
              <w:t>realização: o adaptador implementa a interface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Os estereótipos entre «guillemets» dizem o papel da classe: </w:t>
      </w:r>
      <w:r>
        <w:rPr>
          <w:rFonts w:ascii="Consolas" w:hAnsi="Consolas"/>
          <w:color w:val="015B66"/>
          <w:sz w:val="19"/>
        </w:rPr>
        <w:t>«entidade»</w:t>
      </w:r>
      <w:r>
        <w:t xml:space="preserve"> é tabela no SQLite, </w:t>
      </w:r>
      <w:r>
        <w:rPr>
          <w:rFonts w:ascii="Consolas" w:hAnsi="Consolas"/>
          <w:color w:val="015B66"/>
          <w:sz w:val="19"/>
        </w:rPr>
        <w:t>«projeção de leitura»</w:t>
      </w:r>
      <w:r>
        <w:t xml:space="preserve"> é resultado de consulta (não existe no banco), </w:t>
      </w:r>
      <w:r>
        <w:rPr>
          <w:rFonts w:ascii="Consolas" w:hAnsi="Consolas"/>
          <w:color w:val="015B66"/>
          <w:sz w:val="19"/>
        </w:rPr>
        <w:t>«porta»</w:t>
      </w:r>
      <w:r>
        <w:t xml:space="preserve"> é interface que isola o resto do código de uma tecnologia, e </w:t>
      </w:r>
      <w:r>
        <w:rPr>
          <w:rFonts w:ascii="Consolas" w:hAnsi="Consolas"/>
          <w:color w:val="015B66"/>
          <w:sz w:val="19"/>
        </w:rPr>
        <w:t>«adaptador»</w:t>
      </w:r>
      <w:r>
        <w:t xml:space="preserve"> é a implementação dessa porta.</w:t>
      </w:r>
    </w:p>
    <w:p>
      <w:pPr>
        <w:pStyle w:val="Heading2"/>
      </w:pPr>
      <w:r>
        <w:rPr>
          <w:rFonts w:ascii="Segoe UI" w:hAnsi="Segoe UI"/>
          <w:b/>
          <w:color w:val="015B66"/>
          <w:sz w:val="32"/>
        </w:rPr>
        <w:t>Por que o modelo é assim</w:t>
      </w:r>
    </w:p>
    <w:p>
      <w:pPr>
        <w:jc w:val="both"/>
      </w:pPr>
      <w:r>
        <w:rPr>
          <w:b/>
        </w:rPr>
        <w:t>O brinco é a identidade pública, o id é a interna.</w:t>
      </w:r>
      <w:r>
        <w:t xml:space="preserve"> Toda tabela usa </w:t>
      </w:r>
      <w:r>
        <w:rPr>
          <w:rFonts w:ascii="Consolas" w:hAnsi="Consolas"/>
          <w:color w:val="015B66"/>
          <w:sz w:val="19"/>
        </w:rPr>
        <w:t>id TEXT PRIMARY KEY</w:t>
      </w:r>
      <w:r>
        <w:t xml:space="preserve"> gerado pelo app, mas a planilha, a sincronização e a tela conversam pelo brinco do animal e pelo nome do lote, do medicamento e da vacina — é o que o produtor conhece.</w:t>
      </w:r>
    </w:p>
    <w:p>
      <w:pPr>
        <w:jc w:val="both"/>
      </w:pPr>
      <w:r>
        <w:rPr>
          <w:b/>
        </w:rPr>
        <w:t>`AnimalComResumo` não é tabela.</w:t>
      </w:r>
      <w:r>
        <w:t xml:space="preserve"> É o resultado de uma consulta única com subconsultas correlacionadas (DEL, produção média, último CMT, carência, parto previsto). Agregar em SQL e não em JavaScript é decisão de desempenho: o aparelho-alvo tem 2 GB de RAM.</w:t>
      </w:r>
    </w:p>
    <w:p>
      <w:pPr>
        <w:jc w:val="both"/>
      </w:pPr>
      <w:r>
        <w:rPr>
          <w:b/>
        </w:rPr>
        <w:t>O atendimento guarda JSON de propósito.</w:t>
      </w:r>
      <w:r>
        <w:t xml:space="preserve"> </w:t>
      </w:r>
      <w:r>
        <w:rPr>
          <w:rFonts w:ascii="Consolas" w:hAnsi="Consolas"/>
          <w:color w:val="015B66"/>
          <w:sz w:val="19"/>
        </w:rPr>
        <w:t>fatosIniciais</w:t>
      </w:r>
      <w:r>
        <w:t xml:space="preserve">, </w:t>
      </w:r>
      <w:r>
        <w:rPr>
          <w:rFonts w:ascii="Consolas" w:hAnsi="Consolas"/>
          <w:color w:val="015B66"/>
          <w:sz w:val="19"/>
        </w:rPr>
        <w:t>respostas</w:t>
      </w:r>
      <w:r>
        <w:t xml:space="preserve">, </w:t>
      </w:r>
      <w:r>
        <w:rPr>
          <w:rFonts w:ascii="Consolas" w:hAnsi="Consolas"/>
          <w:color w:val="015B66"/>
          <w:sz w:val="19"/>
        </w:rPr>
        <w:t>conclusoes</w:t>
      </w:r>
      <w:r>
        <w:t xml:space="preserve"> e </w:t>
      </w:r>
      <w:r>
        <w:rPr>
          <w:rFonts w:ascii="Consolas" w:hAnsi="Consolas"/>
          <w:color w:val="015B66"/>
          <w:sz w:val="19"/>
        </w:rPr>
        <w:t>traco</w:t>
      </w:r>
      <w:r>
        <w:t xml:space="preserve"> são a fotografia do raciocínio. Guardá-los permite </w:t>
      </w:r>
      <w:r>
        <w:rPr>
          <w:b/>
        </w:rPr>
        <w:t>re-executar</w:t>
      </w:r>
      <w:r>
        <w:t xml:space="preserve"> o motor depois e provar que o mesmo caso dá o mesmo parecer — e detectar quando a base mudou de versão.</w:t>
      </w:r>
    </w:p>
    <w:p>
      <w:pPr>
        <w:jc w:val="both"/>
      </w:pPr>
      <w:r>
        <w:rPr>
          <w:b/>
        </w:rPr>
        <w:t>`BackendSQLite` é uma porta.</w:t>
      </w:r>
      <w:r>
        <w:t xml:space="preserve"> O driver não conhece </w:t>
      </w:r>
      <w:r>
        <w:rPr>
          <w:rFonts w:ascii="Consolas" w:hAnsi="Consolas"/>
          <w:color w:val="015B66"/>
          <w:sz w:val="19"/>
        </w:rPr>
        <w:t>expo-sqlite</w:t>
      </w:r>
      <w:r>
        <w:t>: conhece uma interface de cinco métodos. É isso que deixa a suíte rodar contra o SQLite de verdade do Node, sem navegador nem aparelho, e o que permitiu à aba secundária do navegador cair para um banco em memória sem que nada acima percebesse.</w:t>
      </w:r>
    </w:p>
    <w:p>
      <w:pPr>
        <w:jc w:val="both"/>
      </w:pPr>
      <w:r>
        <w:rPr>
          <w:b/>
        </w:rPr>
        <w:t>Exclusão é lógica onde a sincronização precisa.</w:t>
      </w:r>
      <w:r>
        <w:t xml:space="preserve"> </w:t>
      </w:r>
      <w:r>
        <w:rPr>
          <w:rFonts w:ascii="Consolas" w:hAnsi="Consolas"/>
          <w:color w:val="015B66"/>
          <w:sz w:val="19"/>
        </w:rPr>
        <w:t>animal.deleted_at</w:t>
      </w:r>
      <w:r>
        <w:t xml:space="preserve"> existe para que a exclusão se propague entre aparelhos: sem lápide, o registro apagado num aparelho voltaria do outro na sincronização seguinte.</w:t>
      </w:r>
    </w:p>
    <w:p>
      <w:pPr>
        <w:jc w:val="both"/>
      </w:pPr>
      <w:r>
        <w:rPr>
          <w:b/>
        </w:rPr>
        <w:t>A mesclagem é a mesma função nos dois lados.</w:t>
      </w:r>
      <w:r>
        <w:t xml:space="preserve"> O servidor da propriedade e o aparelho chamam </w:t>
      </w:r>
      <w:r>
        <w:rPr>
          <w:rFonts w:ascii="Consolas" w:hAnsi="Consolas"/>
          <w:color w:val="015B66"/>
          <w:sz w:val="19"/>
        </w:rPr>
        <w:t>mesclar()</w:t>
      </w:r>
      <w:r>
        <w:t xml:space="preserve"> do mesmo pacote. É isso que garante convergência: mesclar A com B e B com A dá o mesmo resultado, e repetir não muda nada.</w:t>
      </w:r>
    </w:p>
    <w:sectPr w:rsidR="00FC693F" w:rsidRPr="0006063C" w:rsidSect="00034616">
      <w:footerReference w:type="default" r:id="rId13"/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A858D"/>
        <w:sz w:val="16"/>
      </w:rPr>
      <w:t xml:space="preserve">Dr. Moo · Hackathon UFJF 2026 · Tema T1 — Anamnese     </w:t>
    </w:r>
    <w:r>
      <w:rPr>
        <w:rFonts w:ascii="Segoe UI" w:hAnsi="Segoe UI"/>
        <w:color w:val="7A858D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Segoe UI" w:hAnsi="Segoe UI"/>
      <w:color w:val="0F1F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Segoe UI" w:hAnsi="Segoe UI"/>
      <w:b/>
      <w:bCs/>
      <w:color w:val="015B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Segoe UI" w:hAnsi="Segoe UI"/>
      <w:b/>
      <w:bCs/>
      <w:color w:val="015B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E7F8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F1F2C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