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8C572" w14:textId="1AC0FA07" w:rsidR="00F75C6B" w:rsidRDefault="00F00920">
      <w:pPr>
        <w:spacing w:after="0" w:line="259" w:lineRule="auto"/>
        <w:ind w:left="55" w:firstLine="0"/>
        <w:jc w:val="center"/>
      </w:pPr>
      <w:r>
        <w:rPr>
          <w:noProof/>
        </w:rPr>
        <w:drawing>
          <wp:anchor distT="0" distB="0" distL="114300" distR="114300" simplePos="0" relativeHeight="251659264" behindDoc="1" locked="0" layoutInCell="1" allowOverlap="1" wp14:anchorId="46723D0E" wp14:editId="1113B6E0">
            <wp:simplePos x="0" y="0"/>
            <wp:positionH relativeFrom="margin">
              <wp:posOffset>1529715</wp:posOffset>
            </wp:positionH>
            <wp:positionV relativeFrom="paragraph">
              <wp:posOffset>-1589087</wp:posOffset>
            </wp:positionV>
            <wp:extent cx="3526837" cy="352615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26837" cy="3526155"/>
                    </a:xfrm>
                    <a:prstGeom prst="rect">
                      <a:avLst/>
                    </a:prstGeom>
                  </pic:spPr>
                </pic:pic>
              </a:graphicData>
            </a:graphic>
            <wp14:sizeRelH relativeFrom="margin">
              <wp14:pctWidth>0</wp14:pctWidth>
            </wp14:sizeRelH>
            <wp14:sizeRelV relativeFrom="margin">
              <wp14:pctHeight>0</wp14:pctHeight>
            </wp14:sizeRelV>
          </wp:anchor>
        </w:drawing>
      </w:r>
      <w:r w:rsidR="006122B8">
        <w:rPr>
          <w:rFonts w:ascii="Cambria" w:eastAsia="Cambria" w:hAnsi="Cambria" w:cs="Cambria"/>
          <w:color w:val="000000"/>
        </w:rPr>
        <w:t xml:space="preserve"> </w:t>
      </w:r>
    </w:p>
    <w:p w14:paraId="7D0B8C2A" w14:textId="77777777" w:rsidR="00F75C6B" w:rsidRDefault="006122B8">
      <w:pPr>
        <w:spacing w:after="0" w:line="259" w:lineRule="auto"/>
        <w:ind w:left="55" w:firstLine="0"/>
        <w:jc w:val="center"/>
      </w:pPr>
      <w:r>
        <w:rPr>
          <w:rFonts w:ascii="Cambria" w:eastAsia="Cambria" w:hAnsi="Cambria" w:cs="Cambria"/>
          <w:color w:val="000000"/>
        </w:rPr>
        <w:t xml:space="preserve"> </w:t>
      </w:r>
    </w:p>
    <w:p w14:paraId="3F0D1AB9" w14:textId="77777777" w:rsidR="00F75C6B" w:rsidRDefault="006122B8">
      <w:pPr>
        <w:spacing w:after="33" w:line="259" w:lineRule="auto"/>
        <w:ind w:left="55" w:firstLine="0"/>
        <w:jc w:val="center"/>
      </w:pPr>
      <w:r>
        <w:rPr>
          <w:rFonts w:ascii="Cambria" w:eastAsia="Cambria" w:hAnsi="Cambria" w:cs="Cambria"/>
          <w:color w:val="000000"/>
        </w:rPr>
        <w:t xml:space="preserve"> </w:t>
      </w:r>
    </w:p>
    <w:p w14:paraId="74C70199" w14:textId="7844A114" w:rsidR="00F75C6B" w:rsidRDefault="006122B8" w:rsidP="00F00920">
      <w:pPr>
        <w:spacing w:after="1273" w:line="259" w:lineRule="auto"/>
        <w:jc w:val="center"/>
      </w:pPr>
      <w:r>
        <w:rPr>
          <w:rFonts w:ascii="Cambria" w:eastAsia="Cambria" w:hAnsi="Cambria" w:cs="Cambria"/>
          <w:b/>
          <w:color w:val="000000"/>
          <w:sz w:val="30"/>
        </w:rPr>
        <w:t>Loi sur Prévoyance Professionnelle</w:t>
      </w:r>
    </w:p>
    <w:p w14:paraId="119534FC" w14:textId="444392F2" w:rsidR="00F75C6B" w:rsidRDefault="006122B8">
      <w:pPr>
        <w:spacing w:after="149" w:line="259" w:lineRule="auto"/>
        <w:ind w:left="0" w:firstLine="0"/>
      </w:pPr>
      <w:r>
        <w:rPr>
          <w:color w:val="000000"/>
        </w:rPr>
        <w:t>Sens et but de la prévoyance professionnelle</w:t>
      </w:r>
      <w:r>
        <w:rPr>
          <w:color w:val="000000"/>
        </w:rPr>
        <w:t xml:space="preserve"> </w:t>
      </w:r>
    </w:p>
    <w:p w14:paraId="241E5854" w14:textId="77777777" w:rsidR="00F75C6B" w:rsidRDefault="006122B8">
      <w:pPr>
        <w:spacing w:after="369"/>
        <w:ind w:left="-5"/>
      </w:pPr>
      <w:r>
        <w:t>La prévoyance professionnelle ou 2</w:t>
      </w:r>
      <w:r>
        <w:rPr>
          <w:vertAlign w:val="superscript"/>
        </w:rPr>
        <w:t xml:space="preserve">e </w:t>
      </w:r>
      <w:r>
        <w:t>pilier complète l'AVS/AI/PC ou 1</w:t>
      </w:r>
      <w:r>
        <w:rPr>
          <w:vertAlign w:val="superscript"/>
        </w:rPr>
        <w:t>er</w:t>
      </w:r>
      <w:r>
        <w:t xml:space="preserve"> </w:t>
      </w:r>
      <w:r>
        <w:t xml:space="preserve">pilier. Ensemble, les deux assurances doivent permettre aux assurés de conserver dans une large mesure leur niveau de vie antérieur. L'objectif étant de permettre, en additionnant les deux rentes, d'atteindre environ le 60 % du dernier salaire </w:t>
      </w:r>
    </w:p>
    <w:p w14:paraId="3B2F4B82" w14:textId="21D978ED" w:rsidR="00F75C6B" w:rsidRDefault="006122B8">
      <w:pPr>
        <w:spacing w:after="203" w:line="259" w:lineRule="auto"/>
        <w:ind w:left="0" w:firstLine="0"/>
      </w:pPr>
      <w:r>
        <w:rPr>
          <w:color w:val="252A37"/>
        </w:rPr>
        <w:t>Quand doit-</w:t>
      </w:r>
      <w:r>
        <w:rPr>
          <w:color w:val="252A37"/>
        </w:rPr>
        <w:t xml:space="preserve">on commencer à cotiser au 2ème pilier ? </w:t>
      </w:r>
    </w:p>
    <w:p w14:paraId="20708E86" w14:textId="71A806F3" w:rsidR="00F75C6B" w:rsidRDefault="006122B8">
      <w:pPr>
        <w:spacing w:after="10"/>
        <w:ind w:left="-5"/>
      </w:pPr>
      <w:r>
        <w:t xml:space="preserve">La LPP est obligatoire pour les salariés déjà soumis à l'AVS et qui perçoivent un revenu annuel d'au moins </w:t>
      </w:r>
    </w:p>
    <w:p w14:paraId="19186B6C" w14:textId="5244215E" w:rsidR="00F75C6B" w:rsidRDefault="006122B8">
      <w:pPr>
        <w:ind w:left="-5"/>
      </w:pPr>
      <w:r>
        <w:t>21'510 francs jusqu'en 2022 et 22'050 francs dès 2023. Il s'agit du seuil d'accès à la prévoyance professio</w:t>
      </w:r>
      <w:r>
        <w:t xml:space="preserve">nnelle obligatoire. Ce montant correspond aux 3/4 de la rente de vieillesse maximale versée par l'AVS. </w:t>
      </w:r>
    </w:p>
    <w:p w14:paraId="58DDBF50" w14:textId="6DF69A86" w:rsidR="00F75C6B" w:rsidRDefault="006122B8">
      <w:pPr>
        <w:ind w:left="-5"/>
      </w:pPr>
      <w:r>
        <w:t>L'obligation de s'assurer commence en même temps que les rapports de travail et, au plus tôt, dès la 17</w:t>
      </w:r>
      <w:r>
        <w:rPr>
          <w:vertAlign w:val="superscript"/>
        </w:rPr>
        <w:t>e</w:t>
      </w:r>
      <w:r>
        <w:t xml:space="preserve"> année révolue. Dans un premier temps, les cotisations ne couvrent que les risques de décès et d'invalidité. A partir de 25 ans, l'assuré cotise égaleme</w:t>
      </w:r>
      <w:r>
        <w:t>nt au titre de la rente de vieillesse. Certains groupes de personnes ne sont pas soumis au régime obligatoire. Il s'agit, entre autres, des indépendants, des salariés au bénéfice d'un contrat de travail dont la durée n'excède pas trois mois, des membres de</w:t>
      </w:r>
      <w:r>
        <w:t xml:space="preserve"> la famille d'un exploitant agricole qui travaillent dans l'entreprise de celui-ci ou des personnes qui, au sens </w:t>
      </w:r>
      <w:proofErr w:type="gramStart"/>
      <w:r>
        <w:t>de</w:t>
      </w:r>
      <w:proofErr w:type="gramEnd"/>
      <w:r>
        <w:t xml:space="preserve"> l'AI, ont une incapacité de gain de 70 % au moins. </w:t>
      </w:r>
    </w:p>
    <w:p w14:paraId="4E0138ED" w14:textId="77777777" w:rsidR="00F75C6B" w:rsidRDefault="006122B8">
      <w:pPr>
        <w:spacing w:after="348"/>
        <w:ind w:left="-5"/>
      </w:pPr>
      <w:r>
        <w:t>Le cas échéant, ces personnes peuvent contracter à titre facultatif une assurance minima</w:t>
      </w:r>
      <w:r>
        <w:t xml:space="preserve">le. </w:t>
      </w:r>
    </w:p>
    <w:p w14:paraId="1FF1C646" w14:textId="77777777" w:rsidR="00F75C6B" w:rsidRDefault="006122B8">
      <w:pPr>
        <w:spacing w:after="454" w:line="269" w:lineRule="auto"/>
        <w:ind w:left="0" w:firstLine="0"/>
      </w:pPr>
      <w:r>
        <w:rPr>
          <w:color w:val="6A6A6A"/>
        </w:rPr>
        <w:t>Contrairement à</w:t>
      </w:r>
      <w:hyperlink r:id="rId8">
        <w:r>
          <w:rPr>
            <w:color w:val="6A6A6A"/>
          </w:rPr>
          <w:t xml:space="preserve"> </w:t>
        </w:r>
      </w:hyperlink>
      <w:hyperlink r:id="rId9">
        <w:r>
          <w:rPr>
            <w:color w:val="739CA1"/>
            <w:u w:val="single" w:color="739CA1"/>
          </w:rPr>
          <w:t>l’AVS</w:t>
        </w:r>
      </w:hyperlink>
      <w:hyperlink r:id="rId10">
        <w:r>
          <w:rPr>
            <w:color w:val="6A6A6A"/>
          </w:rPr>
          <w:t>,</w:t>
        </w:r>
      </w:hyperlink>
      <w:r>
        <w:rPr>
          <w:color w:val="6A6A6A"/>
        </w:rPr>
        <w:t xml:space="preserve"> qui couvre tout le monde et à laquelle tous participent, la LPP assure les salariés qui </w:t>
      </w:r>
      <w:r>
        <w:rPr>
          <w:color w:val="6A6A6A"/>
        </w:rPr>
        <w:t>sont par ailleurs inscrits à l’AVS. Une moitié est financée par les salariés et l’autre par les employeurs</w:t>
      </w:r>
      <w:r>
        <w:rPr>
          <w:color w:val="6A6A6A"/>
        </w:rPr>
        <w:t xml:space="preserve">. </w:t>
      </w:r>
    </w:p>
    <w:p w14:paraId="19502DAB" w14:textId="77777777" w:rsidR="00F75C6B" w:rsidRDefault="006122B8">
      <w:pPr>
        <w:spacing w:after="435"/>
        <w:ind w:left="-5"/>
      </w:pPr>
      <w:r>
        <w:rPr>
          <w:color w:val="6A6A6A"/>
        </w:rPr>
        <w:t>Autre différence capitale avec l’AVS : quand on me prend un pourcentage de mon</w:t>
      </w:r>
      <w:hyperlink r:id="rId11">
        <w:r>
          <w:rPr>
            <w:color w:val="6A6A6A"/>
          </w:rPr>
          <w:t xml:space="preserve"> </w:t>
        </w:r>
      </w:hyperlink>
      <w:hyperlink r:id="rId12">
        <w:r>
          <w:rPr>
            <w:color w:val="739CA1"/>
            <w:u w:val="single" w:color="739CA1"/>
          </w:rPr>
          <w:t>salaire pou</w:t>
        </w:r>
        <w:r>
          <w:rPr>
            <w:color w:val="739CA1"/>
            <w:u w:val="single" w:color="739CA1"/>
          </w:rPr>
          <w:t>r l’AVS</w:t>
        </w:r>
      </w:hyperlink>
      <w:hyperlink r:id="rId13">
        <w:r>
          <w:rPr>
            <w:color w:val="6A6A6A"/>
          </w:rPr>
          <w:t>,</w:t>
        </w:r>
      </w:hyperlink>
      <w:r>
        <w:rPr>
          <w:color w:val="6A6A6A"/>
        </w:rPr>
        <w:t xml:space="preserve"> cette </w:t>
      </w:r>
      <w:r>
        <w:rPr>
          <w:color w:val="6A6A6A"/>
        </w:rPr>
        <w:t>épargne ne m’est pas destinée. Elle est destinée aux retraités actuels. Quant à la part de mon salaire réservée à la LPP, elle me reviendra à l’âge de la retr</w:t>
      </w:r>
      <w:r>
        <w:rPr>
          <w:color w:val="6A6A6A"/>
        </w:rPr>
        <w:t xml:space="preserve">aite. A l’inverse de l’AVS, ici on parle d’un </w:t>
      </w:r>
      <w:r>
        <w:rPr>
          <w:color w:val="3BC9AE"/>
        </w:rPr>
        <w:t>système de capitalisation.</w:t>
      </w:r>
      <w:r>
        <w:rPr>
          <w:color w:val="6A6A6A"/>
        </w:rPr>
        <w:t xml:space="preserve"> </w:t>
      </w:r>
    </w:p>
    <w:p w14:paraId="33F4C27A" w14:textId="77777777" w:rsidR="00F75C6B" w:rsidRDefault="006122B8">
      <w:pPr>
        <w:spacing w:after="0" w:line="259" w:lineRule="auto"/>
        <w:ind w:left="0" w:firstLine="0"/>
      </w:pPr>
      <w:r>
        <w:rPr>
          <w:color w:val="474646"/>
        </w:rPr>
        <w:t>Combien cotise-t-on pour le 2ème pilier (LPP) ?</w:t>
      </w:r>
      <w:r>
        <w:rPr>
          <w:color w:val="474646"/>
        </w:rPr>
        <w:t xml:space="preserve"> </w:t>
      </w:r>
    </w:p>
    <w:p w14:paraId="4FD5957D" w14:textId="77777777" w:rsidR="00F75C6B" w:rsidRDefault="006122B8">
      <w:pPr>
        <w:spacing w:after="0" w:line="259" w:lineRule="auto"/>
        <w:ind w:left="0" w:firstLine="0"/>
      </w:pPr>
      <w:r>
        <w:rPr>
          <w:color w:val="474646"/>
        </w:rPr>
        <w:t xml:space="preserve"> </w:t>
      </w:r>
    </w:p>
    <w:p w14:paraId="4FD4CE13" w14:textId="77777777" w:rsidR="00F75C6B" w:rsidRDefault="006122B8">
      <w:pPr>
        <w:spacing w:after="0" w:line="259" w:lineRule="auto"/>
        <w:ind w:left="703"/>
      </w:pPr>
      <w:r>
        <w:rPr>
          <w:color w:val="0D0D0D"/>
        </w:rPr>
        <w:t xml:space="preserve">• </w:t>
      </w:r>
      <w:r>
        <w:rPr>
          <w:color w:val="9C8570"/>
          <w:u w:val="single" w:color="9C8570"/>
        </w:rPr>
        <w:t xml:space="preserve">Partie </w:t>
      </w:r>
      <w:proofErr w:type="gramStart"/>
      <w:r>
        <w:rPr>
          <w:color w:val="9C8570"/>
          <w:u w:val="single" w:color="9C8570"/>
        </w:rPr>
        <w:t>obligatoire:</w:t>
      </w:r>
      <w:proofErr w:type="gramEnd"/>
      <w:r>
        <w:rPr>
          <w:color w:val="0D0D0D"/>
        </w:rPr>
        <w:t xml:space="preserve">  </w:t>
      </w:r>
      <w:r>
        <w:rPr>
          <w:color w:val="0D0D0D"/>
        </w:rPr>
        <w:t xml:space="preserve"> </w:t>
      </w:r>
    </w:p>
    <w:p w14:paraId="31F29DCC" w14:textId="77777777" w:rsidR="00F75C6B" w:rsidRDefault="006122B8">
      <w:pPr>
        <w:spacing w:after="0" w:line="259" w:lineRule="auto"/>
        <w:ind w:left="708" w:firstLine="0"/>
      </w:pPr>
      <w:r>
        <w:rPr>
          <w:color w:val="0D0D0D"/>
        </w:rPr>
        <w:t xml:space="preserve"> </w:t>
      </w:r>
    </w:p>
    <w:p w14:paraId="439C6E5B" w14:textId="77777777" w:rsidR="00F75C6B" w:rsidRDefault="006122B8">
      <w:pPr>
        <w:spacing w:after="5"/>
        <w:ind w:left="703"/>
      </w:pPr>
      <w:r>
        <w:rPr>
          <w:color w:val="0D0D0D"/>
        </w:rPr>
        <w:t xml:space="preserve">La loi impose certaines règles de base que tout employeur est obligé de suivre. Notamment : </w:t>
      </w:r>
      <w:r>
        <w:rPr>
          <w:color w:val="0D0D0D"/>
        </w:rPr>
        <w:t xml:space="preserve"> </w:t>
      </w:r>
    </w:p>
    <w:p w14:paraId="63426B54" w14:textId="77777777" w:rsidR="00F75C6B" w:rsidRDefault="006122B8">
      <w:pPr>
        <w:spacing w:after="0" w:line="259" w:lineRule="auto"/>
        <w:ind w:left="708" w:firstLine="0"/>
      </w:pPr>
      <w:r>
        <w:rPr>
          <w:color w:val="0D0D0D"/>
        </w:rPr>
        <w:t xml:space="preserve"> </w:t>
      </w:r>
    </w:p>
    <w:p w14:paraId="061C604B" w14:textId="77777777" w:rsidR="00F75C6B" w:rsidRDefault="006122B8">
      <w:pPr>
        <w:spacing w:after="5"/>
        <w:ind w:left="703" w:right="2354"/>
      </w:pPr>
      <w:proofErr w:type="gramStart"/>
      <w:r>
        <w:rPr>
          <w:color w:val="0D0D0D"/>
        </w:rPr>
        <w:t>o</w:t>
      </w:r>
      <w:proofErr w:type="gramEnd"/>
      <w:r>
        <w:rPr>
          <w:color w:val="0D0D0D"/>
        </w:rPr>
        <w:t xml:space="preserve"> Les bonifications de vieillesse minimums par tranche d’âge (voir plus bas). </w:t>
      </w:r>
      <w:r>
        <w:rPr>
          <w:color w:val="0D0D0D"/>
        </w:rPr>
        <w:t xml:space="preserve"> </w:t>
      </w:r>
      <w:proofErr w:type="gramStart"/>
      <w:r>
        <w:rPr>
          <w:color w:val="0D0D0D"/>
        </w:rPr>
        <w:t>o</w:t>
      </w:r>
      <w:proofErr w:type="gramEnd"/>
      <w:r>
        <w:rPr>
          <w:color w:val="0D0D0D"/>
        </w:rPr>
        <w:t xml:space="preserve"> Les taux d’intérêt versés chaque année sur l’avoir de l’assuré (1%). </w:t>
      </w:r>
      <w:r>
        <w:rPr>
          <w:color w:val="0D0D0D"/>
        </w:rPr>
        <w:t xml:space="preserve"> </w:t>
      </w:r>
      <w:proofErr w:type="gramStart"/>
      <w:r>
        <w:rPr>
          <w:color w:val="0D0D0D"/>
        </w:rPr>
        <w:lastRenderedPageBreak/>
        <w:t>o</w:t>
      </w:r>
      <w:proofErr w:type="gramEnd"/>
      <w:r>
        <w:rPr>
          <w:color w:val="0D0D0D"/>
        </w:rPr>
        <w:t xml:space="preserve"> Les taux de conversion (6,8%). </w:t>
      </w:r>
      <w:r>
        <w:rPr>
          <w:color w:val="0D0D0D"/>
        </w:rPr>
        <w:t xml:space="preserve"> </w:t>
      </w:r>
      <w:proofErr w:type="gramStart"/>
      <w:r>
        <w:rPr>
          <w:color w:val="0D0D0D"/>
        </w:rPr>
        <w:t>o</w:t>
      </w:r>
      <w:proofErr w:type="gramEnd"/>
      <w:r>
        <w:rPr>
          <w:color w:val="0D0D0D"/>
        </w:rPr>
        <w:t xml:space="preserve"> L’employeur est tenu de verser au moins la même somme que le salarié.</w:t>
      </w:r>
      <w:r>
        <w:rPr>
          <w:color w:val="0D0D0D"/>
        </w:rPr>
        <w:t xml:space="preserve"> </w:t>
      </w:r>
      <w:r>
        <w:rPr>
          <w:color w:val="0D0D0D"/>
        </w:rPr>
        <w:t xml:space="preserve"> </w:t>
      </w:r>
    </w:p>
    <w:p w14:paraId="09A6CA82" w14:textId="77777777" w:rsidR="00F75C6B" w:rsidRDefault="006122B8">
      <w:pPr>
        <w:spacing w:after="0" w:line="259" w:lineRule="auto"/>
        <w:ind w:left="0" w:firstLine="0"/>
      </w:pPr>
      <w:r>
        <w:rPr>
          <w:color w:val="0D0D0D"/>
        </w:rPr>
        <w:t xml:space="preserve"> </w:t>
      </w:r>
    </w:p>
    <w:p w14:paraId="5EB3859D" w14:textId="77777777" w:rsidR="00F75C6B" w:rsidRDefault="006122B8">
      <w:pPr>
        <w:spacing w:after="0" w:line="259" w:lineRule="auto"/>
        <w:ind w:left="703"/>
      </w:pPr>
      <w:r>
        <w:rPr>
          <w:color w:val="0D0D0D"/>
        </w:rPr>
        <w:t xml:space="preserve">• </w:t>
      </w:r>
      <w:r>
        <w:rPr>
          <w:color w:val="9C8570"/>
          <w:u w:val="single" w:color="9C8570"/>
        </w:rPr>
        <w:t xml:space="preserve">Partie </w:t>
      </w:r>
      <w:proofErr w:type="spellStart"/>
      <w:proofErr w:type="gramStart"/>
      <w:r>
        <w:rPr>
          <w:color w:val="9C8570"/>
          <w:u w:val="single" w:color="9C8570"/>
        </w:rPr>
        <w:t>surobligatoire</w:t>
      </w:r>
      <w:proofErr w:type="spellEnd"/>
      <w:r>
        <w:rPr>
          <w:color w:val="9C8570"/>
          <w:u w:val="single" w:color="9C8570"/>
        </w:rPr>
        <w:t>:</w:t>
      </w:r>
      <w:proofErr w:type="gramEnd"/>
      <w:r>
        <w:rPr>
          <w:color w:val="9C8570"/>
        </w:rPr>
        <w:t xml:space="preserve"> </w:t>
      </w:r>
      <w:r>
        <w:rPr>
          <w:color w:val="0D0D0D"/>
        </w:rPr>
        <w:t xml:space="preserve"> </w:t>
      </w:r>
    </w:p>
    <w:p w14:paraId="2819AE34" w14:textId="77777777" w:rsidR="00F75C6B" w:rsidRDefault="006122B8">
      <w:pPr>
        <w:spacing w:after="0" w:line="259" w:lineRule="auto"/>
        <w:ind w:left="708" w:firstLine="0"/>
      </w:pPr>
      <w:r>
        <w:rPr>
          <w:color w:val="0D0D0D"/>
        </w:rPr>
        <w:t xml:space="preserve"> </w:t>
      </w:r>
    </w:p>
    <w:p w14:paraId="7C3CD661" w14:textId="77777777" w:rsidR="00F75C6B" w:rsidRDefault="006122B8">
      <w:pPr>
        <w:spacing w:after="5"/>
        <w:ind w:left="0" w:firstLine="708"/>
      </w:pPr>
      <w:r>
        <w:rPr>
          <w:color w:val="0D0D0D"/>
        </w:rPr>
        <w:t>La loi définit toujours des minimums mais n’empêche pas les employeurs d’être plus généreux. Ils peuvent décider librement de comment ils souhaitent assurer leurs employés tant que ceux-</w:t>
      </w:r>
      <w:r>
        <w:rPr>
          <w:color w:val="0D0D0D"/>
        </w:rPr>
        <w:t xml:space="preserve">ci ne se retrouvent pas avec des conditions moins favorables que ce que la loi prescrit. </w:t>
      </w:r>
      <w:proofErr w:type="gramStart"/>
      <w:r>
        <w:rPr>
          <w:color w:val="0D0D0D"/>
        </w:rPr>
        <w:t>o</w:t>
      </w:r>
      <w:proofErr w:type="gramEnd"/>
      <w:r>
        <w:rPr>
          <w:color w:val="0D0D0D"/>
        </w:rPr>
        <w:t xml:space="preserve"> Les bonifications de vieillesse par tranche d’âge supérieure au minimum. </w:t>
      </w:r>
      <w:r>
        <w:rPr>
          <w:color w:val="0D0D0D"/>
        </w:rPr>
        <w:t xml:space="preserve"> </w:t>
      </w:r>
    </w:p>
    <w:p w14:paraId="44F9511B" w14:textId="77777777" w:rsidR="00F75C6B" w:rsidRDefault="006122B8">
      <w:pPr>
        <w:spacing w:after="0" w:line="259" w:lineRule="auto"/>
        <w:ind w:left="708" w:firstLine="0"/>
      </w:pPr>
      <w:r>
        <w:rPr>
          <w:color w:val="0D0D0D"/>
        </w:rPr>
        <w:t xml:space="preserve"> </w:t>
      </w:r>
    </w:p>
    <w:p w14:paraId="2BA95B0B" w14:textId="77777777" w:rsidR="00F75C6B" w:rsidRDefault="006122B8">
      <w:pPr>
        <w:numPr>
          <w:ilvl w:val="0"/>
          <w:numId w:val="1"/>
        </w:numPr>
        <w:spacing w:after="5"/>
        <w:ind w:left="872" w:hanging="179"/>
      </w:pPr>
      <w:r>
        <w:rPr>
          <w:color w:val="0D0D0D"/>
        </w:rPr>
        <w:t xml:space="preserve">La part versée par l’employeur peut être plus importante que celle de l’employé. </w:t>
      </w:r>
      <w:r>
        <w:rPr>
          <w:color w:val="0D0D0D"/>
        </w:rPr>
        <w:t xml:space="preserve"> </w:t>
      </w:r>
    </w:p>
    <w:p w14:paraId="1B166D7F" w14:textId="77777777" w:rsidR="00F75C6B" w:rsidRDefault="006122B8">
      <w:pPr>
        <w:numPr>
          <w:ilvl w:val="0"/>
          <w:numId w:val="1"/>
        </w:numPr>
        <w:spacing w:after="5"/>
        <w:ind w:left="872" w:hanging="179"/>
      </w:pPr>
      <w:r>
        <w:rPr>
          <w:color w:val="0D0D0D"/>
        </w:rPr>
        <w:t>La dé</w:t>
      </w:r>
      <w:r>
        <w:rPr>
          <w:color w:val="0D0D0D"/>
        </w:rPr>
        <w:t xml:space="preserve">duction de coordination inférieure à 25’725 CHF. </w:t>
      </w:r>
      <w:r>
        <w:rPr>
          <w:color w:val="0D0D0D"/>
        </w:rPr>
        <w:t xml:space="preserve"> </w:t>
      </w:r>
    </w:p>
    <w:p w14:paraId="467352F7" w14:textId="77777777" w:rsidR="00F75C6B" w:rsidRDefault="006122B8">
      <w:pPr>
        <w:spacing w:after="0" w:line="259" w:lineRule="auto"/>
        <w:ind w:left="0" w:firstLine="0"/>
      </w:pPr>
      <w:r>
        <w:rPr>
          <w:color w:val="6A6A6A"/>
        </w:rPr>
        <w:t xml:space="preserve"> </w:t>
      </w:r>
    </w:p>
    <w:p w14:paraId="51429F8D" w14:textId="77777777" w:rsidR="00F75C6B" w:rsidRDefault="006122B8">
      <w:pPr>
        <w:spacing w:after="5"/>
        <w:ind w:left="-5"/>
      </w:pPr>
      <w:r>
        <w:rPr>
          <w:color w:val="6A6A6A"/>
        </w:rPr>
        <w:t>Les minimums légaux des calculs des cotisations sont les suivants</w:t>
      </w:r>
      <w:r>
        <w:rPr>
          <w:color w:val="6A6A6A"/>
        </w:rPr>
        <w:t xml:space="preserve"> </w:t>
      </w:r>
      <w:r>
        <w:rPr>
          <w:color w:val="6A6A6A"/>
        </w:rPr>
        <w:t>:</w:t>
      </w:r>
      <w:r>
        <w:rPr>
          <w:color w:val="6A6A6A"/>
        </w:rPr>
        <w:t xml:space="preserve"> </w:t>
      </w:r>
    </w:p>
    <w:p w14:paraId="03EFCB8E" w14:textId="77777777" w:rsidR="00F75C6B" w:rsidRDefault="006122B8">
      <w:pPr>
        <w:spacing w:after="0" w:line="259" w:lineRule="auto"/>
        <w:ind w:left="0" w:firstLine="0"/>
      </w:pPr>
      <w:r>
        <w:rPr>
          <w:color w:val="6A6A6A"/>
        </w:rPr>
        <w:t xml:space="preserve"> </w:t>
      </w:r>
    </w:p>
    <w:p w14:paraId="2160A635" w14:textId="77777777" w:rsidR="00F75C6B" w:rsidRDefault="006122B8">
      <w:pPr>
        <w:numPr>
          <w:ilvl w:val="0"/>
          <w:numId w:val="2"/>
        </w:numPr>
        <w:spacing w:after="5"/>
        <w:ind w:firstLine="708"/>
      </w:pPr>
      <w:r>
        <w:rPr>
          <w:color w:val="6A6A6A"/>
        </w:rPr>
        <w:t>De 25 à 34 ans : 7% du salaire annuel (3,5% pour votre pomme, 3,5% pour celle de l’employeur). Pour un revenu mensuel de 5’000 CHF à</w:t>
      </w:r>
      <w:r>
        <w:rPr>
          <w:color w:val="6A6A6A"/>
        </w:rPr>
        <w:t xml:space="preserve"> l’âge de 27 ans, une cotisation de 350 CHF au total sera demandée. 175 CHF seront déduit de votre salaire brut et 175 iront à la charge de votre employeur. </w:t>
      </w:r>
      <w:r>
        <w:rPr>
          <w:color w:val="000000"/>
        </w:rPr>
        <w:t xml:space="preserve"> </w:t>
      </w:r>
    </w:p>
    <w:p w14:paraId="13D50BC2" w14:textId="77777777" w:rsidR="00F75C6B" w:rsidRDefault="006122B8">
      <w:pPr>
        <w:spacing w:after="0" w:line="259" w:lineRule="auto"/>
        <w:ind w:left="708" w:firstLine="0"/>
      </w:pPr>
      <w:r>
        <w:rPr>
          <w:color w:val="6A6A6A"/>
        </w:rPr>
        <w:t xml:space="preserve"> </w:t>
      </w:r>
    </w:p>
    <w:p w14:paraId="6F30D668" w14:textId="77777777" w:rsidR="00F75C6B" w:rsidRDefault="006122B8">
      <w:pPr>
        <w:numPr>
          <w:ilvl w:val="0"/>
          <w:numId w:val="2"/>
        </w:numPr>
        <w:spacing w:after="5"/>
        <w:ind w:firstLine="708"/>
      </w:pPr>
      <w:r>
        <w:rPr>
          <w:color w:val="6A6A6A"/>
        </w:rPr>
        <w:t xml:space="preserve">De 35 à 44 ans : 10% du salaire annuel (5% pour vous, 5% pour celle de l’employeur). </w:t>
      </w:r>
      <w:r>
        <w:rPr>
          <w:color w:val="000000"/>
        </w:rPr>
        <w:t xml:space="preserve"> </w:t>
      </w:r>
    </w:p>
    <w:p w14:paraId="3F9E582E" w14:textId="77777777" w:rsidR="00F75C6B" w:rsidRDefault="006122B8">
      <w:pPr>
        <w:spacing w:after="0" w:line="259" w:lineRule="auto"/>
        <w:ind w:left="708" w:firstLine="0"/>
      </w:pPr>
      <w:r>
        <w:rPr>
          <w:color w:val="6A6A6A"/>
        </w:rPr>
        <w:t xml:space="preserve"> </w:t>
      </w:r>
    </w:p>
    <w:p w14:paraId="38A9B50D" w14:textId="77777777" w:rsidR="00F75C6B" w:rsidRDefault="006122B8">
      <w:pPr>
        <w:numPr>
          <w:ilvl w:val="0"/>
          <w:numId w:val="2"/>
        </w:numPr>
        <w:spacing w:after="5"/>
        <w:ind w:firstLine="708"/>
      </w:pPr>
      <w:r>
        <w:rPr>
          <w:color w:val="6A6A6A"/>
        </w:rPr>
        <w:t xml:space="preserve">De 45 </w:t>
      </w:r>
      <w:r>
        <w:rPr>
          <w:color w:val="6A6A6A"/>
        </w:rPr>
        <w:t xml:space="preserve">à 54 ans : 15% du salaire annuel (7,5% pour vous, 7,5% pour celle de l’employeur). </w:t>
      </w:r>
      <w:r>
        <w:rPr>
          <w:color w:val="000000"/>
        </w:rPr>
        <w:t xml:space="preserve"> </w:t>
      </w:r>
    </w:p>
    <w:p w14:paraId="6193937B" w14:textId="77777777" w:rsidR="00F75C6B" w:rsidRDefault="006122B8">
      <w:pPr>
        <w:spacing w:after="0" w:line="259" w:lineRule="auto"/>
        <w:ind w:left="708" w:firstLine="0"/>
      </w:pPr>
      <w:r>
        <w:rPr>
          <w:color w:val="6A6A6A"/>
        </w:rPr>
        <w:t xml:space="preserve"> </w:t>
      </w:r>
    </w:p>
    <w:p w14:paraId="758DB4C4" w14:textId="77777777" w:rsidR="00F75C6B" w:rsidRDefault="006122B8">
      <w:pPr>
        <w:numPr>
          <w:ilvl w:val="0"/>
          <w:numId w:val="2"/>
        </w:numPr>
        <w:spacing w:after="5"/>
        <w:ind w:firstLine="708"/>
      </w:pPr>
      <w:r>
        <w:rPr>
          <w:color w:val="6A6A6A"/>
        </w:rPr>
        <w:t xml:space="preserve">De 55 à 64 ou 65 </w:t>
      </w:r>
      <w:proofErr w:type="gramStart"/>
      <w:r>
        <w:rPr>
          <w:color w:val="6A6A6A"/>
        </w:rPr>
        <w:t>ans:</w:t>
      </w:r>
      <w:proofErr w:type="gramEnd"/>
      <w:r>
        <w:rPr>
          <w:color w:val="6A6A6A"/>
        </w:rPr>
        <w:t xml:space="preserve"> 18% du salaire annuel (9% pour vous, 9% pour celle de l’employeur). </w:t>
      </w:r>
      <w:r>
        <w:rPr>
          <w:color w:val="6A6A6A"/>
        </w:rPr>
        <w:t xml:space="preserve"> </w:t>
      </w:r>
    </w:p>
    <w:p w14:paraId="585CB04C" w14:textId="77777777" w:rsidR="00F75C6B" w:rsidRDefault="006122B8">
      <w:pPr>
        <w:spacing w:after="0" w:line="259" w:lineRule="auto"/>
        <w:ind w:left="0" w:right="1476" w:firstLine="0"/>
      </w:pPr>
      <w:r>
        <w:rPr>
          <w:rFonts w:ascii="Cambria" w:eastAsia="Cambria" w:hAnsi="Cambria" w:cs="Cambria"/>
          <w:color w:val="6A6A6A"/>
          <w:sz w:val="22"/>
        </w:rPr>
        <w:t xml:space="preserve"> </w:t>
      </w:r>
    </w:p>
    <w:p w14:paraId="76E43F6E" w14:textId="77777777" w:rsidR="00F75C6B" w:rsidRDefault="006122B8">
      <w:pPr>
        <w:spacing w:after="0" w:line="259" w:lineRule="auto"/>
        <w:ind w:left="0" w:right="1426" w:firstLine="0"/>
        <w:jc w:val="right"/>
      </w:pPr>
      <w:r>
        <w:rPr>
          <w:noProof/>
        </w:rPr>
        <w:drawing>
          <wp:inline distT="0" distB="0" distL="0" distR="0" wp14:anchorId="4DA93220" wp14:editId="6EF4D502">
            <wp:extent cx="4692010" cy="2362804"/>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4"/>
                    <a:stretch>
                      <a:fillRect/>
                    </a:stretch>
                  </pic:blipFill>
                  <pic:spPr>
                    <a:xfrm>
                      <a:off x="0" y="0"/>
                      <a:ext cx="4692010" cy="2362804"/>
                    </a:xfrm>
                    <a:prstGeom prst="rect">
                      <a:avLst/>
                    </a:prstGeom>
                  </pic:spPr>
                </pic:pic>
              </a:graphicData>
            </a:graphic>
          </wp:inline>
        </w:drawing>
      </w:r>
      <w:r>
        <w:rPr>
          <w:rFonts w:ascii="Cambria" w:eastAsia="Cambria" w:hAnsi="Cambria" w:cs="Cambria"/>
          <w:color w:val="000000"/>
          <w:sz w:val="22"/>
        </w:rPr>
        <w:t xml:space="preserve"> </w:t>
      </w:r>
    </w:p>
    <w:p w14:paraId="2D62476A" w14:textId="77777777" w:rsidR="00F75C6B" w:rsidRDefault="006122B8">
      <w:pPr>
        <w:spacing w:after="0" w:line="259" w:lineRule="auto"/>
        <w:ind w:left="51" w:firstLine="0"/>
        <w:jc w:val="center"/>
      </w:pPr>
      <w:r>
        <w:rPr>
          <w:rFonts w:ascii="Cambria" w:eastAsia="Cambria" w:hAnsi="Cambria" w:cs="Cambria"/>
          <w:color w:val="000000"/>
          <w:sz w:val="22"/>
        </w:rPr>
        <w:t xml:space="preserve"> </w:t>
      </w:r>
    </w:p>
    <w:p w14:paraId="2E5A6914" w14:textId="77777777" w:rsidR="00F75C6B" w:rsidRDefault="006122B8">
      <w:pPr>
        <w:spacing w:after="0" w:line="259" w:lineRule="auto"/>
        <w:ind w:left="1946" w:firstLine="0"/>
      </w:pPr>
      <w:r>
        <w:rPr>
          <w:noProof/>
        </w:rPr>
        <w:lastRenderedPageBreak/>
        <w:drawing>
          <wp:inline distT="0" distB="0" distL="0" distR="0" wp14:anchorId="419C9055" wp14:editId="2E59E838">
            <wp:extent cx="4096310" cy="3121519"/>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5"/>
                    <a:stretch>
                      <a:fillRect/>
                    </a:stretch>
                  </pic:blipFill>
                  <pic:spPr>
                    <a:xfrm>
                      <a:off x="0" y="0"/>
                      <a:ext cx="4096310" cy="3121519"/>
                    </a:xfrm>
                    <a:prstGeom prst="rect">
                      <a:avLst/>
                    </a:prstGeom>
                  </pic:spPr>
                </pic:pic>
              </a:graphicData>
            </a:graphic>
          </wp:inline>
        </w:drawing>
      </w:r>
    </w:p>
    <w:p w14:paraId="5D7DE740" w14:textId="77777777" w:rsidR="00F75C6B" w:rsidRDefault="006122B8">
      <w:pPr>
        <w:spacing w:after="0" w:line="259" w:lineRule="auto"/>
        <w:ind w:left="708" w:firstLine="0"/>
      </w:pPr>
      <w:r>
        <w:rPr>
          <w:rFonts w:ascii="Cambria" w:eastAsia="Cambria" w:hAnsi="Cambria" w:cs="Cambria"/>
          <w:color w:val="000000"/>
          <w:sz w:val="22"/>
        </w:rPr>
        <w:t xml:space="preserve"> </w:t>
      </w:r>
    </w:p>
    <w:p w14:paraId="421D6AED" w14:textId="77777777" w:rsidR="00F75C6B" w:rsidRDefault="006122B8">
      <w:pPr>
        <w:spacing w:after="0" w:line="259" w:lineRule="auto"/>
        <w:ind w:left="708" w:firstLine="0"/>
      </w:pPr>
      <w:r>
        <w:rPr>
          <w:rFonts w:ascii="Cambria" w:eastAsia="Cambria" w:hAnsi="Cambria" w:cs="Cambria"/>
          <w:color w:val="000000"/>
          <w:sz w:val="22"/>
        </w:rPr>
        <w:t xml:space="preserve"> </w:t>
      </w:r>
    </w:p>
    <w:p w14:paraId="7D9BD66B" w14:textId="77777777" w:rsidR="00F75C6B" w:rsidRDefault="006122B8">
      <w:pPr>
        <w:ind w:left="-5"/>
      </w:pPr>
      <w:r>
        <w:t>Selon la LPP, comme dans le 1</w:t>
      </w:r>
      <w:r>
        <w:rPr>
          <w:vertAlign w:val="superscript"/>
        </w:rPr>
        <w:t>er</w:t>
      </w:r>
      <w:r>
        <w:t xml:space="preserve"> </w:t>
      </w:r>
      <w:r>
        <w:t>pilier, la prestation de vieillesse peut être perçue avant d'atteindre l'âge ordinaire de la retraite. Toutefois, l'assuré ne peut prendre une retraite anticipée que si le règlement de l'institution prévoit expressément cette possibilité. L'âge minimum pou</w:t>
      </w:r>
      <w:r>
        <w:t xml:space="preserve">r la retraite anticipée est fixé à 58 ans. En cas de retraite anticipée, les prestations de vieillesse sont réduites : l'avoir de vieillesse théorique n'étant pas entièrement constitué, un taux de conversion inférieur est appliqué au calcul de la rente de </w:t>
      </w:r>
      <w:r>
        <w:t xml:space="preserve">vieillesse. </w:t>
      </w:r>
    </w:p>
    <w:p w14:paraId="5E7DBC48" w14:textId="77777777" w:rsidR="00F75C6B" w:rsidRDefault="006122B8">
      <w:pPr>
        <w:ind w:left="-5"/>
      </w:pPr>
      <w:r>
        <w:t xml:space="preserve">L'assuré peut également demander que le quart de son avoir de vieillesse lui soit versé sous la forme d'une prestation en capital.  </w:t>
      </w:r>
    </w:p>
    <w:p w14:paraId="18AD0846" w14:textId="77777777" w:rsidR="00F75C6B" w:rsidRDefault="006122B8">
      <w:pPr>
        <w:spacing w:after="0" w:line="259" w:lineRule="auto"/>
        <w:ind w:left="708" w:firstLine="0"/>
      </w:pPr>
      <w:r>
        <w:rPr>
          <w:rFonts w:ascii="Cambria" w:eastAsia="Cambria" w:hAnsi="Cambria" w:cs="Cambria"/>
          <w:color w:val="000000"/>
          <w:sz w:val="22"/>
        </w:rPr>
        <w:t xml:space="preserve"> </w:t>
      </w:r>
    </w:p>
    <w:tbl>
      <w:tblPr>
        <w:tblStyle w:val="TableGrid"/>
        <w:tblW w:w="10363" w:type="dxa"/>
        <w:tblInd w:w="-11" w:type="dxa"/>
        <w:tblCellMar>
          <w:top w:w="53" w:type="dxa"/>
          <w:left w:w="11" w:type="dxa"/>
          <w:bottom w:w="0" w:type="dxa"/>
          <w:right w:w="87" w:type="dxa"/>
        </w:tblCellMar>
        <w:tblLook w:val="04A0" w:firstRow="1" w:lastRow="0" w:firstColumn="1" w:lastColumn="0" w:noHBand="0" w:noVBand="1"/>
      </w:tblPr>
      <w:tblGrid>
        <w:gridCol w:w="1571"/>
        <w:gridCol w:w="4961"/>
        <w:gridCol w:w="3831"/>
      </w:tblGrid>
      <w:tr w:rsidR="00F75C6B" w14:paraId="5CCFA547" w14:textId="77777777">
        <w:trPr>
          <w:trHeight w:val="823"/>
        </w:trPr>
        <w:tc>
          <w:tcPr>
            <w:tcW w:w="6532" w:type="dxa"/>
            <w:gridSpan w:val="2"/>
            <w:tcBorders>
              <w:top w:val="nil"/>
              <w:left w:val="nil"/>
              <w:bottom w:val="single" w:sz="48" w:space="0" w:color="F5F5F5"/>
              <w:right w:val="nil"/>
            </w:tcBorders>
            <w:shd w:val="clear" w:color="auto" w:fill="F5F5F5"/>
          </w:tcPr>
          <w:p w14:paraId="41233168" w14:textId="77777777" w:rsidR="00F75C6B" w:rsidRDefault="006122B8">
            <w:pPr>
              <w:spacing w:after="0" w:line="259" w:lineRule="auto"/>
              <w:ind w:left="120" w:firstLine="0"/>
            </w:pPr>
            <w:r>
              <w:rPr>
                <w:rFonts w:ascii="Arial" w:eastAsia="Arial" w:hAnsi="Arial" w:cs="Arial"/>
                <w:b/>
                <w:color w:val="757575"/>
                <w:sz w:val="18"/>
              </w:rPr>
              <w:t xml:space="preserve">La LPP prévoit les prestations suivantes : </w:t>
            </w:r>
          </w:p>
        </w:tc>
        <w:tc>
          <w:tcPr>
            <w:tcW w:w="3831" w:type="dxa"/>
            <w:tcBorders>
              <w:top w:val="nil"/>
              <w:left w:val="nil"/>
              <w:bottom w:val="single" w:sz="48" w:space="0" w:color="F5F5F5"/>
              <w:right w:val="nil"/>
            </w:tcBorders>
            <w:shd w:val="clear" w:color="auto" w:fill="F5F5F5"/>
          </w:tcPr>
          <w:p w14:paraId="7E2B43A9" w14:textId="77777777" w:rsidR="00F75C6B" w:rsidRDefault="00F75C6B">
            <w:pPr>
              <w:spacing w:after="160" w:line="259" w:lineRule="auto"/>
              <w:ind w:left="0" w:firstLine="0"/>
            </w:pPr>
          </w:p>
        </w:tc>
      </w:tr>
      <w:tr w:rsidR="00F75C6B" w14:paraId="1486696A" w14:textId="77777777">
        <w:trPr>
          <w:trHeight w:val="946"/>
        </w:trPr>
        <w:tc>
          <w:tcPr>
            <w:tcW w:w="1571" w:type="dxa"/>
            <w:tcBorders>
              <w:top w:val="single" w:sz="48" w:space="0" w:color="F5F5F5"/>
              <w:left w:val="single" w:sz="6" w:space="0" w:color="DDDDDD"/>
              <w:bottom w:val="single" w:sz="48" w:space="0" w:color="FFFFFF"/>
              <w:right w:val="single" w:sz="6" w:space="0" w:color="DDDDDD"/>
            </w:tcBorders>
            <w:shd w:val="clear" w:color="auto" w:fill="F5F5F5"/>
          </w:tcPr>
          <w:p w14:paraId="25046A70" w14:textId="77777777" w:rsidR="00F75C6B" w:rsidRDefault="006122B8">
            <w:pPr>
              <w:spacing w:after="0" w:line="259" w:lineRule="auto"/>
              <w:ind w:left="120" w:firstLine="0"/>
            </w:pPr>
            <w:r>
              <w:rPr>
                <w:rFonts w:ascii="Arial" w:eastAsia="Arial" w:hAnsi="Arial" w:cs="Arial"/>
                <w:b/>
                <w:color w:val="000000"/>
                <w:sz w:val="18"/>
              </w:rPr>
              <w:t xml:space="preserve">Prestation de vieillesse </w:t>
            </w:r>
          </w:p>
        </w:tc>
        <w:tc>
          <w:tcPr>
            <w:tcW w:w="4961" w:type="dxa"/>
            <w:tcBorders>
              <w:top w:val="single" w:sz="48" w:space="0" w:color="F5F5F5"/>
              <w:left w:val="single" w:sz="6" w:space="0" w:color="DDDDDD"/>
              <w:bottom w:val="single" w:sz="48" w:space="0" w:color="FFFFFF"/>
              <w:right w:val="single" w:sz="6" w:space="0" w:color="DDDDDD"/>
            </w:tcBorders>
            <w:shd w:val="clear" w:color="auto" w:fill="F5F5F5"/>
          </w:tcPr>
          <w:p w14:paraId="357415C4" w14:textId="77777777" w:rsidR="00F75C6B" w:rsidRDefault="006122B8">
            <w:pPr>
              <w:spacing w:after="0" w:line="259" w:lineRule="auto"/>
              <w:ind w:left="109" w:firstLine="0"/>
            </w:pPr>
            <w:r>
              <w:rPr>
                <w:rFonts w:ascii="Arial" w:eastAsia="Arial" w:hAnsi="Arial" w:cs="Arial"/>
                <w:b/>
                <w:color w:val="000000"/>
                <w:sz w:val="18"/>
              </w:rPr>
              <w:t xml:space="preserve">Conditions </w:t>
            </w:r>
          </w:p>
        </w:tc>
        <w:tc>
          <w:tcPr>
            <w:tcW w:w="3831" w:type="dxa"/>
            <w:tcBorders>
              <w:top w:val="single" w:sz="48" w:space="0" w:color="F5F5F5"/>
              <w:left w:val="single" w:sz="6" w:space="0" w:color="DDDDDD"/>
              <w:bottom w:val="single" w:sz="48" w:space="0" w:color="FFFFFF"/>
              <w:right w:val="single" w:sz="6" w:space="0" w:color="DDDDDD"/>
            </w:tcBorders>
            <w:shd w:val="clear" w:color="auto" w:fill="F5F5F5"/>
          </w:tcPr>
          <w:p w14:paraId="4173DA31" w14:textId="77777777" w:rsidR="00F75C6B" w:rsidRDefault="006122B8">
            <w:pPr>
              <w:spacing w:after="0" w:line="259" w:lineRule="auto"/>
              <w:ind w:left="110" w:firstLine="0"/>
            </w:pPr>
            <w:r>
              <w:rPr>
                <w:rFonts w:ascii="Arial" w:eastAsia="Arial" w:hAnsi="Arial" w:cs="Arial"/>
                <w:b/>
                <w:color w:val="000000"/>
                <w:sz w:val="18"/>
              </w:rPr>
              <w:t xml:space="preserve">Montant </w:t>
            </w:r>
          </w:p>
        </w:tc>
      </w:tr>
      <w:tr w:rsidR="00F75C6B" w14:paraId="19036B01" w14:textId="77777777">
        <w:trPr>
          <w:trHeight w:val="1621"/>
        </w:trPr>
        <w:tc>
          <w:tcPr>
            <w:tcW w:w="1571" w:type="dxa"/>
            <w:tcBorders>
              <w:top w:val="single" w:sz="48" w:space="0" w:color="FFFFFF"/>
              <w:left w:val="single" w:sz="6" w:space="0" w:color="DDDDDD"/>
              <w:bottom w:val="single" w:sz="48" w:space="0" w:color="FFFFFF"/>
              <w:right w:val="single" w:sz="6" w:space="0" w:color="DDDDDD"/>
            </w:tcBorders>
          </w:tcPr>
          <w:p w14:paraId="0386B24C" w14:textId="77777777" w:rsidR="00F75C6B" w:rsidRDefault="006122B8">
            <w:pPr>
              <w:spacing w:after="0" w:line="259" w:lineRule="auto"/>
              <w:ind w:left="120" w:firstLine="0"/>
            </w:pPr>
            <w:r>
              <w:rPr>
                <w:color w:val="000000"/>
                <w:sz w:val="22"/>
              </w:rPr>
              <w:t xml:space="preserve">Rente de vieillesse </w:t>
            </w:r>
          </w:p>
        </w:tc>
        <w:tc>
          <w:tcPr>
            <w:tcW w:w="4961" w:type="dxa"/>
            <w:tcBorders>
              <w:top w:val="single" w:sz="48" w:space="0" w:color="FFFFFF"/>
              <w:left w:val="single" w:sz="6" w:space="0" w:color="DDDDDD"/>
              <w:bottom w:val="single" w:sz="48" w:space="0" w:color="FFFFFF"/>
              <w:right w:val="single" w:sz="6" w:space="0" w:color="DDDDDD"/>
            </w:tcBorders>
          </w:tcPr>
          <w:p w14:paraId="6172B638" w14:textId="77777777" w:rsidR="00F75C6B" w:rsidRDefault="006122B8">
            <w:pPr>
              <w:spacing w:after="0" w:line="259" w:lineRule="auto"/>
              <w:ind w:left="109" w:firstLine="0"/>
            </w:pPr>
            <w:r>
              <w:rPr>
                <w:color w:val="000000"/>
                <w:sz w:val="22"/>
              </w:rPr>
              <w:t xml:space="preserve">Avoir atteint l'âge ordinaire de la retraite (65 ans pour les hommes et 64 ans pour les femmes) </w:t>
            </w:r>
          </w:p>
        </w:tc>
        <w:tc>
          <w:tcPr>
            <w:tcW w:w="3831" w:type="dxa"/>
            <w:tcBorders>
              <w:top w:val="single" w:sz="48" w:space="0" w:color="FFFFFF"/>
              <w:left w:val="single" w:sz="6" w:space="0" w:color="DDDDDD"/>
              <w:bottom w:val="single" w:sz="48" w:space="0" w:color="FFFFFF"/>
              <w:right w:val="single" w:sz="6" w:space="0" w:color="DDDDDD"/>
            </w:tcBorders>
          </w:tcPr>
          <w:p w14:paraId="08C56D6C" w14:textId="77777777" w:rsidR="00F75C6B" w:rsidRDefault="006122B8">
            <w:pPr>
              <w:spacing w:after="0" w:line="259" w:lineRule="auto"/>
              <w:ind w:left="110" w:firstLine="0"/>
            </w:pPr>
            <w:r>
              <w:rPr>
                <w:color w:val="000000"/>
                <w:sz w:val="22"/>
              </w:rPr>
              <w:t xml:space="preserve">Rente de vieillesse annuelle correspondant à 6.80% (dès 2014) de l'avoir de vieillesse accumulé par la personne assurée. </w:t>
            </w:r>
          </w:p>
        </w:tc>
      </w:tr>
      <w:tr w:rsidR="00F75C6B" w14:paraId="0E96ED00" w14:textId="77777777">
        <w:trPr>
          <w:trHeight w:val="1868"/>
        </w:trPr>
        <w:tc>
          <w:tcPr>
            <w:tcW w:w="1571" w:type="dxa"/>
            <w:tcBorders>
              <w:top w:val="single" w:sz="48" w:space="0" w:color="FFFFFF"/>
              <w:left w:val="single" w:sz="6" w:space="0" w:color="DDDDDD"/>
              <w:bottom w:val="single" w:sz="48" w:space="0" w:color="FFFFFF"/>
              <w:right w:val="single" w:sz="6" w:space="0" w:color="DDDDDD"/>
            </w:tcBorders>
          </w:tcPr>
          <w:p w14:paraId="332CC3A1" w14:textId="77777777" w:rsidR="00F75C6B" w:rsidRDefault="006122B8">
            <w:pPr>
              <w:spacing w:after="0" w:line="259" w:lineRule="auto"/>
              <w:ind w:left="120" w:firstLine="0"/>
            </w:pPr>
            <w:r>
              <w:rPr>
                <w:color w:val="333333"/>
                <w:sz w:val="22"/>
              </w:rPr>
              <w:t xml:space="preserve">Rente pour enfant </w:t>
            </w:r>
          </w:p>
        </w:tc>
        <w:tc>
          <w:tcPr>
            <w:tcW w:w="4961" w:type="dxa"/>
            <w:tcBorders>
              <w:top w:val="single" w:sz="48" w:space="0" w:color="FFFFFF"/>
              <w:left w:val="single" w:sz="6" w:space="0" w:color="DDDDDD"/>
              <w:bottom w:val="single" w:sz="48" w:space="0" w:color="FFFFFF"/>
              <w:right w:val="single" w:sz="6" w:space="0" w:color="DDDDDD"/>
            </w:tcBorders>
            <w:vAlign w:val="center"/>
          </w:tcPr>
          <w:p w14:paraId="5759CF27" w14:textId="77777777" w:rsidR="00F75C6B" w:rsidRDefault="006122B8">
            <w:pPr>
              <w:spacing w:after="0" w:line="259" w:lineRule="auto"/>
              <w:ind w:left="109" w:right="32" w:firstLine="0"/>
            </w:pPr>
            <w:r>
              <w:rPr>
                <w:color w:val="000000"/>
                <w:sz w:val="22"/>
              </w:rPr>
              <w:t>Versée aux bénéficiaires d'une rente de vieillesse (anticipée le cas échéant) ; au décès du titulaire de la rente de vieillesse, l'enfant concerné remplirait les conditions pour la rente d'orphelin. La rente est versée jusqu'à l'âge de 1</w:t>
            </w:r>
            <w:r>
              <w:rPr>
                <w:color w:val="000000"/>
                <w:sz w:val="22"/>
              </w:rPr>
              <w:t xml:space="preserve">8 ans ou au plus tard 25 ans révolus en cas d'études ou d'apprentissage. </w:t>
            </w:r>
          </w:p>
        </w:tc>
        <w:tc>
          <w:tcPr>
            <w:tcW w:w="3831" w:type="dxa"/>
            <w:tcBorders>
              <w:top w:val="single" w:sz="48" w:space="0" w:color="FFFFFF"/>
              <w:left w:val="single" w:sz="6" w:space="0" w:color="DDDDDD"/>
              <w:bottom w:val="single" w:sz="48" w:space="0" w:color="FFFFFF"/>
              <w:right w:val="single" w:sz="6" w:space="0" w:color="DDDDDD"/>
            </w:tcBorders>
          </w:tcPr>
          <w:p w14:paraId="2B6CF8F1" w14:textId="77777777" w:rsidR="00F75C6B" w:rsidRDefault="006122B8">
            <w:pPr>
              <w:spacing w:after="0" w:line="259" w:lineRule="auto"/>
              <w:ind w:left="110" w:firstLine="0"/>
            </w:pPr>
            <w:r>
              <w:rPr>
                <w:color w:val="333333"/>
                <w:sz w:val="22"/>
              </w:rPr>
              <w:t xml:space="preserve">20 % de la rente de vieillesse par enfant et par année. </w:t>
            </w:r>
          </w:p>
        </w:tc>
      </w:tr>
      <w:tr w:rsidR="00F75C6B" w14:paraId="5920AE86" w14:textId="77777777">
        <w:trPr>
          <w:trHeight w:val="2196"/>
        </w:trPr>
        <w:tc>
          <w:tcPr>
            <w:tcW w:w="1571" w:type="dxa"/>
            <w:tcBorders>
              <w:top w:val="single" w:sz="48" w:space="0" w:color="FFFFFF"/>
              <w:left w:val="single" w:sz="6" w:space="0" w:color="DDDDDD"/>
              <w:bottom w:val="single" w:sz="48" w:space="0" w:color="FFFFFF"/>
              <w:right w:val="single" w:sz="6" w:space="0" w:color="DDDDDD"/>
            </w:tcBorders>
          </w:tcPr>
          <w:p w14:paraId="4F0EDC5C" w14:textId="77777777" w:rsidR="00F75C6B" w:rsidRDefault="006122B8">
            <w:pPr>
              <w:spacing w:after="0" w:line="259" w:lineRule="auto"/>
              <w:ind w:left="120" w:firstLine="0"/>
            </w:pPr>
            <w:r>
              <w:rPr>
                <w:color w:val="333333"/>
                <w:sz w:val="22"/>
              </w:rPr>
              <w:lastRenderedPageBreak/>
              <w:t xml:space="preserve">Cas particulier : Retraite anticipée / retraite différée </w:t>
            </w:r>
          </w:p>
        </w:tc>
        <w:tc>
          <w:tcPr>
            <w:tcW w:w="4961" w:type="dxa"/>
            <w:tcBorders>
              <w:top w:val="single" w:sz="48" w:space="0" w:color="FFFFFF"/>
              <w:left w:val="single" w:sz="6" w:space="0" w:color="DDDDDD"/>
              <w:bottom w:val="single" w:sz="48" w:space="0" w:color="FFFFFF"/>
              <w:right w:val="single" w:sz="6" w:space="0" w:color="DDDDDD"/>
            </w:tcBorders>
          </w:tcPr>
          <w:p w14:paraId="08289A94" w14:textId="77777777" w:rsidR="00F75C6B" w:rsidRDefault="006122B8">
            <w:pPr>
              <w:spacing w:after="0" w:line="259" w:lineRule="auto"/>
              <w:ind w:left="109" w:firstLine="0"/>
            </w:pPr>
            <w:r>
              <w:rPr>
                <w:color w:val="000000"/>
                <w:sz w:val="22"/>
              </w:rPr>
              <w:t xml:space="preserve">Selon les dispositions du règlement de l'institution de prévoyance. </w:t>
            </w:r>
          </w:p>
        </w:tc>
        <w:tc>
          <w:tcPr>
            <w:tcW w:w="3831" w:type="dxa"/>
            <w:tcBorders>
              <w:top w:val="single" w:sz="48" w:space="0" w:color="FFFFFF"/>
              <w:left w:val="single" w:sz="6" w:space="0" w:color="DDDDDD"/>
              <w:bottom w:val="single" w:sz="48" w:space="0" w:color="FFFFFF"/>
              <w:right w:val="single" w:sz="6" w:space="0" w:color="DDDDDD"/>
            </w:tcBorders>
          </w:tcPr>
          <w:p w14:paraId="18BEDB7C" w14:textId="77777777" w:rsidR="00F75C6B" w:rsidRDefault="006122B8">
            <w:pPr>
              <w:spacing w:after="166" w:line="239" w:lineRule="auto"/>
              <w:ind w:left="110" w:firstLine="0"/>
            </w:pPr>
            <w:r>
              <w:rPr>
                <w:color w:val="333333"/>
                <w:sz w:val="22"/>
              </w:rPr>
              <w:t xml:space="preserve">En cas de retraite anticipée, il y a en principe diminution du montant de la rente (sauf disposition plus favorable du règlement) </w:t>
            </w:r>
          </w:p>
          <w:p w14:paraId="6CF6F4F8" w14:textId="77777777" w:rsidR="00F75C6B" w:rsidRDefault="006122B8">
            <w:pPr>
              <w:spacing w:after="0" w:line="259" w:lineRule="auto"/>
              <w:ind w:left="110" w:firstLine="0"/>
            </w:pPr>
            <w:r>
              <w:rPr>
                <w:color w:val="333333"/>
                <w:sz w:val="22"/>
              </w:rPr>
              <w:t>En cas de retraite ajournée, il y a augmentation du mont</w:t>
            </w:r>
            <w:r>
              <w:rPr>
                <w:color w:val="333333"/>
                <w:sz w:val="22"/>
              </w:rPr>
              <w:t xml:space="preserve">ant de la rente </w:t>
            </w:r>
          </w:p>
        </w:tc>
      </w:tr>
      <w:tr w:rsidR="00F75C6B" w14:paraId="2F84EA7F" w14:textId="77777777">
        <w:trPr>
          <w:trHeight w:val="1554"/>
        </w:trPr>
        <w:tc>
          <w:tcPr>
            <w:tcW w:w="1571" w:type="dxa"/>
            <w:tcBorders>
              <w:top w:val="single" w:sz="48" w:space="0" w:color="FFFFFF"/>
              <w:left w:val="single" w:sz="6" w:space="0" w:color="DDDDDD"/>
              <w:bottom w:val="single" w:sz="6" w:space="0" w:color="DDDDDD"/>
              <w:right w:val="single" w:sz="6" w:space="0" w:color="DDDDDD"/>
            </w:tcBorders>
          </w:tcPr>
          <w:p w14:paraId="55D44230" w14:textId="77777777" w:rsidR="00F75C6B" w:rsidRDefault="006122B8">
            <w:pPr>
              <w:spacing w:after="0" w:line="259" w:lineRule="auto"/>
              <w:ind w:left="120" w:firstLine="0"/>
            </w:pPr>
            <w:r>
              <w:rPr>
                <w:color w:val="333333"/>
                <w:sz w:val="22"/>
              </w:rPr>
              <w:t xml:space="preserve">Prestation en capital Et / ou rente </w:t>
            </w:r>
          </w:p>
        </w:tc>
        <w:tc>
          <w:tcPr>
            <w:tcW w:w="4961" w:type="dxa"/>
            <w:tcBorders>
              <w:top w:val="single" w:sz="48" w:space="0" w:color="FFFFFF"/>
              <w:left w:val="single" w:sz="6" w:space="0" w:color="DDDDDD"/>
              <w:bottom w:val="single" w:sz="6" w:space="0" w:color="DDDDDD"/>
              <w:right w:val="single" w:sz="6" w:space="0" w:color="DDDDDD"/>
            </w:tcBorders>
            <w:vAlign w:val="center"/>
          </w:tcPr>
          <w:p w14:paraId="4AFC20C6" w14:textId="77777777" w:rsidR="00F75C6B" w:rsidRDefault="006122B8">
            <w:pPr>
              <w:spacing w:after="0" w:line="259" w:lineRule="auto"/>
              <w:ind w:left="109" w:firstLine="0"/>
            </w:pPr>
            <w:r>
              <w:rPr>
                <w:color w:val="333333"/>
                <w:sz w:val="22"/>
              </w:rPr>
              <w:t xml:space="preserve">Versement en capital d'une partie de la prestation de vieillesse, l'autre partie étant versée sous forme de rente. </w:t>
            </w:r>
            <w:r>
              <w:rPr>
                <w:i/>
                <w:color w:val="333333"/>
                <w:sz w:val="22"/>
              </w:rPr>
              <w:t xml:space="preserve">Selon les dispositions du règlement de l'institution de prévoyance : </w:t>
            </w:r>
            <w:r>
              <w:rPr>
                <w:color w:val="333333"/>
                <w:sz w:val="22"/>
              </w:rPr>
              <w:t xml:space="preserve"> versement d'un capital à la place de la rente. </w:t>
            </w:r>
          </w:p>
        </w:tc>
        <w:tc>
          <w:tcPr>
            <w:tcW w:w="3831" w:type="dxa"/>
            <w:tcBorders>
              <w:top w:val="single" w:sz="48" w:space="0" w:color="FFFFFF"/>
              <w:left w:val="single" w:sz="6" w:space="0" w:color="DDDDDD"/>
              <w:bottom w:val="single" w:sz="6" w:space="0" w:color="DDDDDD"/>
              <w:right w:val="single" w:sz="6" w:space="0" w:color="DDDDDD"/>
            </w:tcBorders>
          </w:tcPr>
          <w:p w14:paraId="45823701" w14:textId="77777777" w:rsidR="00F75C6B" w:rsidRDefault="006122B8">
            <w:pPr>
              <w:spacing w:after="0" w:line="259" w:lineRule="auto"/>
              <w:ind w:left="110" w:firstLine="0"/>
            </w:pPr>
            <w:r>
              <w:rPr>
                <w:color w:val="333333"/>
                <w:sz w:val="22"/>
              </w:rPr>
              <w:t>Versement unique Capita</w:t>
            </w:r>
            <w:r>
              <w:rPr>
                <w:color w:val="333333"/>
                <w:sz w:val="22"/>
              </w:rPr>
              <w:t xml:space="preserve">l égal au quart de l'avoir de vieillesse capital égal à la totalité de l'avoir de vieillesse </w:t>
            </w:r>
          </w:p>
        </w:tc>
      </w:tr>
      <w:tr w:rsidR="00F75C6B" w14:paraId="4468E666" w14:textId="77777777">
        <w:trPr>
          <w:trHeight w:val="625"/>
        </w:trPr>
        <w:tc>
          <w:tcPr>
            <w:tcW w:w="6532" w:type="dxa"/>
            <w:gridSpan w:val="2"/>
            <w:tcBorders>
              <w:top w:val="single" w:sz="6" w:space="0" w:color="DDDDDD"/>
              <w:left w:val="nil"/>
              <w:bottom w:val="nil"/>
              <w:right w:val="nil"/>
            </w:tcBorders>
            <w:shd w:val="clear" w:color="auto" w:fill="FFFFFF"/>
          </w:tcPr>
          <w:p w14:paraId="1924C868" w14:textId="77777777" w:rsidR="00F75C6B" w:rsidRDefault="006122B8">
            <w:pPr>
              <w:spacing w:after="0" w:line="259" w:lineRule="auto"/>
              <w:ind w:left="0" w:firstLine="0"/>
            </w:pPr>
            <w:r>
              <w:t xml:space="preserve"> </w:t>
            </w:r>
          </w:p>
        </w:tc>
        <w:tc>
          <w:tcPr>
            <w:tcW w:w="3831" w:type="dxa"/>
            <w:tcBorders>
              <w:top w:val="single" w:sz="6" w:space="0" w:color="DDDDDD"/>
              <w:left w:val="nil"/>
              <w:bottom w:val="nil"/>
              <w:right w:val="nil"/>
            </w:tcBorders>
            <w:shd w:val="clear" w:color="auto" w:fill="FFFFFF"/>
          </w:tcPr>
          <w:p w14:paraId="3328EF16" w14:textId="77777777" w:rsidR="00F75C6B" w:rsidRDefault="00F75C6B">
            <w:pPr>
              <w:spacing w:after="160" w:line="259" w:lineRule="auto"/>
              <w:ind w:left="0" w:firstLine="0"/>
            </w:pPr>
          </w:p>
        </w:tc>
      </w:tr>
    </w:tbl>
    <w:p w14:paraId="075BB4DE" w14:textId="77777777" w:rsidR="00F75C6B" w:rsidRDefault="006122B8">
      <w:pPr>
        <w:spacing w:after="304" w:line="259" w:lineRule="auto"/>
        <w:ind w:left="0" w:firstLine="0"/>
      </w:pPr>
      <w:r>
        <w:rPr>
          <w:color w:val="000000"/>
          <w:sz w:val="26"/>
        </w:rPr>
        <w:t xml:space="preserve"> </w:t>
      </w:r>
    </w:p>
    <w:p w14:paraId="64366C02" w14:textId="77777777" w:rsidR="00F75C6B" w:rsidRDefault="006122B8">
      <w:pPr>
        <w:spacing w:after="306" w:line="259" w:lineRule="auto"/>
        <w:ind w:left="0" w:firstLine="0"/>
      </w:pPr>
      <w:r>
        <w:rPr>
          <w:color w:val="000000"/>
          <w:sz w:val="26"/>
        </w:rPr>
        <w:t xml:space="preserve"> </w:t>
      </w:r>
    </w:p>
    <w:p w14:paraId="16DA6DE2" w14:textId="77777777" w:rsidR="00F75C6B" w:rsidRDefault="006122B8">
      <w:pPr>
        <w:spacing w:after="0" w:line="259" w:lineRule="auto"/>
        <w:ind w:left="0" w:firstLine="0"/>
      </w:pPr>
      <w:r>
        <w:rPr>
          <w:color w:val="000000"/>
          <w:sz w:val="26"/>
        </w:rPr>
        <w:t xml:space="preserve"> </w:t>
      </w:r>
    </w:p>
    <w:p w14:paraId="54B632D2" w14:textId="77777777" w:rsidR="00F75C6B" w:rsidRDefault="006122B8">
      <w:pPr>
        <w:pStyle w:val="Titre1"/>
        <w:ind w:left="-5"/>
      </w:pPr>
      <w:r>
        <w:t xml:space="preserve">Prévoyance invalidité </w:t>
      </w:r>
    </w:p>
    <w:p w14:paraId="6CC87336" w14:textId="77777777" w:rsidR="00F75C6B" w:rsidRDefault="006122B8">
      <w:pPr>
        <w:ind w:left="-5"/>
      </w:pPr>
      <w:r>
        <w:t xml:space="preserve">En cas d'invalidité, au sens de l'AI, résultant d'un accident ou d'une maladie, la caisse de pensions verse à l'assuré une rente d'invalidité et, le cas échéant, une rente pour enfant. Ces rentes continuent à être versées lorsque l'assuré atteint l'âge de </w:t>
      </w:r>
      <w:r>
        <w:t xml:space="preserve">la retraite. </w:t>
      </w:r>
    </w:p>
    <w:p w14:paraId="60F8BF0C" w14:textId="77777777" w:rsidR="00F75C6B" w:rsidRDefault="006122B8">
      <w:pPr>
        <w:spacing w:after="0" w:line="240" w:lineRule="auto"/>
        <w:ind w:left="0" w:right="100" w:firstLine="0"/>
      </w:pPr>
      <w:r>
        <w:t>La rente d'invalidité est calculée sur la base d'une extrapolation de l'</w:t>
      </w:r>
      <w:r>
        <w:rPr>
          <w:color w:val="000000"/>
        </w:rPr>
        <w:t>avoir de vieillesse</w:t>
      </w:r>
      <w:r>
        <w:t xml:space="preserve"> </w:t>
      </w:r>
      <w:r>
        <w:t>final : la somme des bonifications de vieillesse afférentes aux années futures est ajoutée, sans les intérêts, à l'</w:t>
      </w:r>
      <w:r>
        <w:rPr>
          <w:color w:val="000000"/>
        </w:rPr>
        <w:t xml:space="preserve">avoir de </w:t>
      </w:r>
      <w:proofErr w:type="gramStart"/>
      <w:r>
        <w:rPr>
          <w:color w:val="000000"/>
        </w:rPr>
        <w:t>vieillesse</w:t>
      </w:r>
      <w:r>
        <w:t xml:space="preserve"> </w:t>
      </w:r>
      <w:r>
        <w:t>effectivement a</w:t>
      </w:r>
      <w:r>
        <w:t>cquis</w:t>
      </w:r>
      <w:proofErr w:type="gramEnd"/>
      <w:r>
        <w:t xml:space="preserve"> au moment de la naissance du droit à la rente.</w:t>
      </w:r>
      <w:r>
        <w:t xml:space="preserve"> </w:t>
      </w:r>
    </w:p>
    <w:p w14:paraId="41C626DF" w14:textId="77777777" w:rsidR="00F75C6B" w:rsidRDefault="006122B8">
      <w:pPr>
        <w:spacing w:after="0" w:line="259" w:lineRule="auto"/>
        <w:ind w:left="0" w:firstLine="0"/>
      </w:pPr>
      <w:r>
        <w:t xml:space="preserve"> </w:t>
      </w:r>
    </w:p>
    <w:tbl>
      <w:tblPr>
        <w:tblStyle w:val="TableGrid"/>
        <w:tblW w:w="10338" w:type="dxa"/>
        <w:tblInd w:w="2" w:type="dxa"/>
        <w:tblCellMar>
          <w:top w:w="84" w:type="dxa"/>
          <w:left w:w="118" w:type="dxa"/>
          <w:bottom w:w="75" w:type="dxa"/>
          <w:right w:w="76" w:type="dxa"/>
        </w:tblCellMar>
        <w:tblLook w:val="04A0" w:firstRow="1" w:lastRow="0" w:firstColumn="1" w:lastColumn="0" w:noHBand="0" w:noVBand="1"/>
      </w:tblPr>
      <w:tblGrid>
        <w:gridCol w:w="1808"/>
        <w:gridCol w:w="6339"/>
        <w:gridCol w:w="2191"/>
      </w:tblGrid>
      <w:tr w:rsidR="00F75C6B" w14:paraId="2015399F" w14:textId="77777777">
        <w:trPr>
          <w:trHeight w:val="554"/>
        </w:trPr>
        <w:tc>
          <w:tcPr>
            <w:tcW w:w="10338" w:type="dxa"/>
            <w:gridSpan w:val="3"/>
            <w:tcBorders>
              <w:top w:val="nil"/>
              <w:left w:val="nil"/>
              <w:bottom w:val="single" w:sz="48" w:space="0" w:color="F5F5F5"/>
              <w:right w:val="nil"/>
            </w:tcBorders>
            <w:shd w:val="clear" w:color="auto" w:fill="F5F5F5"/>
            <w:vAlign w:val="center"/>
          </w:tcPr>
          <w:p w14:paraId="69CE07FC" w14:textId="77777777" w:rsidR="00F75C6B" w:rsidRDefault="006122B8">
            <w:pPr>
              <w:spacing w:after="0" w:line="259" w:lineRule="auto"/>
              <w:ind w:left="0" w:firstLine="0"/>
            </w:pPr>
            <w:r>
              <w:rPr>
                <w:color w:val="000000"/>
                <w:sz w:val="22"/>
              </w:rPr>
              <w:t xml:space="preserve">La LPP prévoit les prestations </w:t>
            </w:r>
            <w:proofErr w:type="gramStart"/>
            <w:r>
              <w:rPr>
                <w:color w:val="000000"/>
                <w:sz w:val="22"/>
              </w:rPr>
              <w:t>suivantes:</w:t>
            </w:r>
            <w:proofErr w:type="gramEnd"/>
            <w:r>
              <w:rPr>
                <w:color w:val="000000"/>
                <w:sz w:val="22"/>
              </w:rPr>
              <w:t xml:space="preserve"> </w:t>
            </w:r>
          </w:p>
        </w:tc>
      </w:tr>
      <w:tr w:rsidR="00F75C6B" w14:paraId="4F3B9B64" w14:textId="77777777">
        <w:trPr>
          <w:trHeight w:val="1036"/>
        </w:trPr>
        <w:tc>
          <w:tcPr>
            <w:tcW w:w="1808" w:type="dxa"/>
            <w:tcBorders>
              <w:top w:val="single" w:sz="48" w:space="0" w:color="F5F5F5"/>
              <w:left w:val="single" w:sz="6" w:space="0" w:color="DDDDDD"/>
              <w:bottom w:val="single" w:sz="6" w:space="0" w:color="DDDDDD"/>
              <w:right w:val="single" w:sz="6" w:space="0" w:color="DDDDDD"/>
            </w:tcBorders>
            <w:shd w:val="clear" w:color="auto" w:fill="F5F5F5"/>
          </w:tcPr>
          <w:p w14:paraId="695051E4" w14:textId="77777777" w:rsidR="00F75C6B" w:rsidRDefault="006122B8">
            <w:pPr>
              <w:spacing w:after="0" w:line="259" w:lineRule="auto"/>
              <w:ind w:left="0" w:firstLine="0"/>
            </w:pPr>
            <w:r>
              <w:rPr>
                <w:rFonts w:ascii="Times New Roman" w:eastAsia="Times New Roman" w:hAnsi="Times New Roman" w:cs="Times New Roman"/>
                <w:b/>
                <w:color w:val="000000"/>
              </w:rPr>
              <w:t xml:space="preserve">Prestation d'invalidité </w:t>
            </w:r>
          </w:p>
        </w:tc>
        <w:tc>
          <w:tcPr>
            <w:tcW w:w="6339" w:type="dxa"/>
            <w:tcBorders>
              <w:top w:val="single" w:sz="48" w:space="0" w:color="F5F5F5"/>
              <w:left w:val="single" w:sz="6" w:space="0" w:color="DDDDDD"/>
              <w:bottom w:val="single" w:sz="6" w:space="0" w:color="DDDDDD"/>
              <w:right w:val="single" w:sz="6" w:space="0" w:color="DDDDDD"/>
            </w:tcBorders>
            <w:shd w:val="clear" w:color="auto" w:fill="F5F5F5"/>
            <w:vAlign w:val="center"/>
          </w:tcPr>
          <w:p w14:paraId="49627C75" w14:textId="77777777" w:rsidR="00F75C6B" w:rsidRDefault="006122B8">
            <w:pPr>
              <w:spacing w:after="0" w:line="259" w:lineRule="auto"/>
              <w:ind w:left="2" w:firstLine="0"/>
            </w:pPr>
            <w:r>
              <w:rPr>
                <w:rFonts w:ascii="Times New Roman" w:eastAsia="Times New Roman" w:hAnsi="Times New Roman" w:cs="Times New Roman"/>
                <w:b/>
                <w:color w:val="000000"/>
              </w:rPr>
              <w:t xml:space="preserve">Conditions </w:t>
            </w:r>
          </w:p>
        </w:tc>
        <w:tc>
          <w:tcPr>
            <w:tcW w:w="2191" w:type="dxa"/>
            <w:tcBorders>
              <w:top w:val="single" w:sz="48" w:space="0" w:color="F5F5F5"/>
              <w:left w:val="single" w:sz="6" w:space="0" w:color="DDDDDD"/>
              <w:bottom w:val="single" w:sz="6" w:space="0" w:color="DDDDDD"/>
              <w:right w:val="single" w:sz="6" w:space="0" w:color="DDDDDD"/>
            </w:tcBorders>
            <w:shd w:val="clear" w:color="auto" w:fill="F5F5F5"/>
            <w:vAlign w:val="center"/>
          </w:tcPr>
          <w:p w14:paraId="624D6C2B" w14:textId="77777777" w:rsidR="00F75C6B" w:rsidRDefault="006122B8">
            <w:pPr>
              <w:spacing w:after="0" w:line="259" w:lineRule="auto"/>
              <w:ind w:left="1" w:firstLine="0"/>
            </w:pPr>
            <w:r>
              <w:rPr>
                <w:rFonts w:ascii="Times New Roman" w:eastAsia="Times New Roman" w:hAnsi="Times New Roman" w:cs="Times New Roman"/>
                <w:b/>
                <w:color w:val="000000"/>
              </w:rPr>
              <w:t xml:space="preserve">Montant </w:t>
            </w:r>
          </w:p>
        </w:tc>
      </w:tr>
      <w:tr w:rsidR="00F75C6B" w14:paraId="5F17C710" w14:textId="77777777">
        <w:trPr>
          <w:trHeight w:val="4022"/>
        </w:trPr>
        <w:tc>
          <w:tcPr>
            <w:tcW w:w="1808" w:type="dxa"/>
            <w:tcBorders>
              <w:top w:val="single" w:sz="6" w:space="0" w:color="DDDDDD"/>
              <w:left w:val="single" w:sz="6" w:space="0" w:color="DDDDDD"/>
              <w:bottom w:val="single" w:sz="6" w:space="0" w:color="DDDDDD"/>
              <w:right w:val="single" w:sz="6" w:space="0" w:color="DDDDDD"/>
            </w:tcBorders>
          </w:tcPr>
          <w:p w14:paraId="3CC52924" w14:textId="77777777" w:rsidR="00F75C6B" w:rsidRDefault="006122B8">
            <w:pPr>
              <w:spacing w:after="329" w:line="238" w:lineRule="auto"/>
              <w:ind w:left="0" w:firstLine="0"/>
            </w:pPr>
            <w:r>
              <w:rPr>
                <w:rFonts w:ascii="Times New Roman" w:eastAsia="Times New Roman" w:hAnsi="Times New Roman" w:cs="Times New Roman"/>
                <w:b/>
                <w:color w:val="333333"/>
              </w:rPr>
              <w:lastRenderedPageBreak/>
              <w:t xml:space="preserve">Rente d'invalidité </w:t>
            </w:r>
          </w:p>
          <w:p w14:paraId="72C80D70" w14:textId="77777777" w:rsidR="00F75C6B" w:rsidRDefault="006122B8">
            <w:pPr>
              <w:spacing w:after="158" w:line="259" w:lineRule="auto"/>
              <w:ind w:left="0" w:firstLine="0"/>
            </w:pPr>
            <w:r>
              <w:rPr>
                <w:rFonts w:ascii="Times New Roman" w:eastAsia="Times New Roman" w:hAnsi="Times New Roman" w:cs="Times New Roman"/>
                <w:color w:val="000000"/>
              </w:rPr>
              <w:t xml:space="preserve"> </w:t>
            </w:r>
          </w:p>
          <w:p w14:paraId="7FB866D6" w14:textId="77777777" w:rsidR="00F75C6B" w:rsidRDefault="006122B8">
            <w:pPr>
              <w:spacing w:after="0" w:line="259" w:lineRule="auto"/>
              <w:ind w:left="0" w:firstLine="0"/>
            </w:pPr>
            <w:r>
              <w:rPr>
                <w:rFonts w:ascii="Times New Roman" w:eastAsia="Times New Roman" w:hAnsi="Times New Roman" w:cs="Times New Roman"/>
                <w:b/>
                <w:color w:val="333333"/>
              </w:rPr>
              <w:t xml:space="preserve"> </w:t>
            </w:r>
          </w:p>
          <w:p w14:paraId="604E2856" w14:textId="77777777" w:rsidR="00F75C6B" w:rsidRDefault="006122B8">
            <w:pPr>
              <w:spacing w:after="0" w:line="259" w:lineRule="auto"/>
              <w:ind w:left="0" w:firstLine="0"/>
            </w:pPr>
            <w:r>
              <w:rPr>
                <w:rFonts w:ascii="Times New Roman" w:eastAsia="Times New Roman" w:hAnsi="Times New Roman" w:cs="Times New Roman"/>
                <w:color w:val="000000"/>
              </w:rPr>
              <w:t xml:space="preserve"> </w:t>
            </w:r>
          </w:p>
        </w:tc>
        <w:tc>
          <w:tcPr>
            <w:tcW w:w="6339" w:type="dxa"/>
            <w:tcBorders>
              <w:top w:val="single" w:sz="6" w:space="0" w:color="DDDDDD"/>
              <w:left w:val="single" w:sz="6" w:space="0" w:color="DDDDDD"/>
              <w:bottom w:val="single" w:sz="6" w:space="0" w:color="DDDDDD"/>
              <w:right w:val="single" w:sz="6" w:space="0" w:color="DDDDDD"/>
            </w:tcBorders>
            <w:vAlign w:val="bottom"/>
          </w:tcPr>
          <w:p w14:paraId="316E4A2D" w14:textId="77777777" w:rsidR="00F75C6B" w:rsidRDefault="006122B8">
            <w:pPr>
              <w:spacing w:after="0" w:line="259" w:lineRule="auto"/>
              <w:ind w:left="2" w:firstLine="0"/>
            </w:pPr>
            <w:proofErr w:type="spellStart"/>
            <w:r>
              <w:rPr>
                <w:rFonts w:ascii="Times New Roman" w:eastAsia="Times New Roman" w:hAnsi="Times New Roman" w:cs="Times New Roman"/>
                <w:color w:val="333333"/>
              </w:rPr>
              <w:t>Etre</w:t>
            </w:r>
            <w:proofErr w:type="spellEnd"/>
            <w:r>
              <w:rPr>
                <w:rFonts w:ascii="Times New Roman" w:eastAsia="Times New Roman" w:hAnsi="Times New Roman" w:cs="Times New Roman"/>
                <w:color w:val="333333"/>
              </w:rPr>
              <w:t xml:space="preserve"> invalide à 40% au moins </w:t>
            </w:r>
          </w:p>
          <w:tbl>
            <w:tblPr>
              <w:tblStyle w:val="TableGrid"/>
              <w:tblW w:w="6086" w:type="dxa"/>
              <w:tblInd w:w="9" w:type="dxa"/>
              <w:tblCellMar>
                <w:top w:w="92" w:type="dxa"/>
                <w:left w:w="120" w:type="dxa"/>
                <w:bottom w:w="0" w:type="dxa"/>
                <w:right w:w="115" w:type="dxa"/>
              </w:tblCellMar>
              <w:tblLook w:val="04A0" w:firstRow="1" w:lastRow="0" w:firstColumn="1" w:lastColumn="0" w:noHBand="0" w:noVBand="1"/>
            </w:tblPr>
            <w:tblGrid>
              <w:gridCol w:w="2873"/>
              <w:gridCol w:w="3213"/>
            </w:tblGrid>
            <w:tr w:rsidR="00F75C6B" w14:paraId="3FE14AE0" w14:textId="77777777">
              <w:trPr>
                <w:trHeight w:val="1082"/>
              </w:trPr>
              <w:tc>
                <w:tcPr>
                  <w:tcW w:w="2873" w:type="dxa"/>
                  <w:tcBorders>
                    <w:top w:val="single" w:sz="6" w:space="0" w:color="DDDDDD"/>
                    <w:left w:val="single" w:sz="6" w:space="0" w:color="DDDDDD"/>
                    <w:bottom w:val="single" w:sz="6" w:space="0" w:color="DDDDDD"/>
                    <w:right w:val="single" w:sz="6" w:space="0" w:color="DDDDDD"/>
                  </w:tcBorders>
                </w:tcPr>
                <w:p w14:paraId="6F207F81" w14:textId="77777777" w:rsidR="00F75C6B" w:rsidRDefault="006122B8">
                  <w:pPr>
                    <w:spacing w:after="0" w:line="259" w:lineRule="auto"/>
                    <w:ind w:left="180" w:firstLine="0"/>
                  </w:pPr>
                  <w:r>
                    <w:rPr>
                      <w:rFonts w:ascii="Times New Roman" w:eastAsia="Times New Roman" w:hAnsi="Times New Roman" w:cs="Times New Roman"/>
                      <w:color w:val="333333"/>
                    </w:rPr>
                    <w:t>-</w:t>
                  </w:r>
                  <w:r>
                    <w:rPr>
                      <w:rFonts w:ascii="Times New Roman" w:eastAsia="Times New Roman" w:hAnsi="Times New Roman" w:cs="Times New Roman"/>
                      <w:color w:val="333333"/>
                    </w:rPr>
                    <w:t xml:space="preserve">Pour un taux d’invalidité de 70% et plus </w:t>
                  </w:r>
                </w:p>
              </w:tc>
              <w:tc>
                <w:tcPr>
                  <w:tcW w:w="3212" w:type="dxa"/>
                  <w:tcBorders>
                    <w:top w:val="single" w:sz="6" w:space="0" w:color="DDDDDD"/>
                    <w:left w:val="single" w:sz="6" w:space="0" w:color="DDDDDD"/>
                    <w:bottom w:val="single" w:sz="48" w:space="0" w:color="FFFFFF"/>
                    <w:right w:val="single" w:sz="6" w:space="0" w:color="DDDDDD"/>
                  </w:tcBorders>
                </w:tcPr>
                <w:p w14:paraId="4CC86BED" w14:textId="77777777" w:rsidR="00F75C6B" w:rsidRDefault="006122B8">
                  <w:pPr>
                    <w:spacing w:after="0" w:line="259" w:lineRule="auto"/>
                    <w:ind w:left="0" w:firstLine="0"/>
                  </w:pPr>
                  <w:r>
                    <w:rPr>
                      <w:rFonts w:ascii="Times New Roman" w:eastAsia="Times New Roman" w:hAnsi="Times New Roman" w:cs="Times New Roman"/>
                      <w:color w:val="333333"/>
                    </w:rPr>
                    <w:t xml:space="preserve">Rente entière d’invalidité </w:t>
                  </w:r>
                </w:p>
              </w:tc>
            </w:tr>
            <w:tr w:rsidR="00F75C6B" w14:paraId="4D981945" w14:textId="77777777">
              <w:trPr>
                <w:trHeight w:val="1038"/>
              </w:trPr>
              <w:tc>
                <w:tcPr>
                  <w:tcW w:w="2873" w:type="dxa"/>
                  <w:tcBorders>
                    <w:top w:val="single" w:sz="6" w:space="0" w:color="DDDDDD"/>
                    <w:left w:val="single" w:sz="6" w:space="0" w:color="DDDDDD"/>
                    <w:bottom w:val="single" w:sz="6" w:space="0" w:color="DDDDDD"/>
                    <w:right w:val="single" w:sz="6" w:space="0" w:color="DDDDDD"/>
                  </w:tcBorders>
                </w:tcPr>
                <w:p w14:paraId="41023CCE" w14:textId="77777777" w:rsidR="00F75C6B" w:rsidRDefault="006122B8">
                  <w:pPr>
                    <w:spacing w:after="0" w:line="259" w:lineRule="auto"/>
                    <w:ind w:left="180" w:firstLine="0"/>
                  </w:pPr>
                  <w:r>
                    <w:rPr>
                      <w:rFonts w:ascii="Times New Roman" w:eastAsia="Times New Roman" w:hAnsi="Times New Roman" w:cs="Times New Roman"/>
                      <w:color w:val="333333"/>
                    </w:rPr>
                    <w:t xml:space="preserve">-Pour un taux </w:t>
                  </w:r>
                </w:p>
                <w:p w14:paraId="0DE384FA" w14:textId="77777777" w:rsidR="00F75C6B" w:rsidRDefault="006122B8">
                  <w:pPr>
                    <w:spacing w:after="0" w:line="259" w:lineRule="auto"/>
                    <w:ind w:left="180" w:firstLine="0"/>
                  </w:pPr>
                  <w:proofErr w:type="gramStart"/>
                  <w:r>
                    <w:rPr>
                      <w:rFonts w:ascii="Times New Roman" w:eastAsia="Times New Roman" w:hAnsi="Times New Roman" w:cs="Times New Roman"/>
                      <w:color w:val="333333"/>
                    </w:rPr>
                    <w:t>d’invalidité</w:t>
                  </w:r>
                  <w:proofErr w:type="gramEnd"/>
                  <w:r>
                    <w:rPr>
                      <w:rFonts w:ascii="Times New Roman" w:eastAsia="Times New Roman" w:hAnsi="Times New Roman" w:cs="Times New Roman"/>
                      <w:color w:val="333333"/>
                    </w:rPr>
                    <w:t xml:space="preserve"> de 69% à 50%  </w:t>
                  </w:r>
                </w:p>
              </w:tc>
              <w:tc>
                <w:tcPr>
                  <w:tcW w:w="3212" w:type="dxa"/>
                  <w:tcBorders>
                    <w:top w:val="single" w:sz="48" w:space="0" w:color="FFFFFF"/>
                    <w:left w:val="single" w:sz="6" w:space="0" w:color="DDDDDD"/>
                    <w:bottom w:val="single" w:sz="6" w:space="0" w:color="DDDDDD"/>
                    <w:right w:val="single" w:sz="6" w:space="0" w:color="DDDDDD"/>
                  </w:tcBorders>
                </w:tcPr>
                <w:p w14:paraId="6C713200" w14:textId="77777777" w:rsidR="00F75C6B" w:rsidRDefault="006122B8">
                  <w:pPr>
                    <w:spacing w:after="0" w:line="259" w:lineRule="auto"/>
                    <w:ind w:left="0" w:firstLine="0"/>
                  </w:pPr>
                  <w:r>
                    <w:rPr>
                      <w:rFonts w:ascii="Times New Roman" w:eastAsia="Times New Roman" w:hAnsi="Times New Roman" w:cs="Times New Roman"/>
                      <w:color w:val="333333"/>
                    </w:rPr>
                    <w:t xml:space="preserve">La quotité de la rente correspond au taux d’invalidité </w:t>
                  </w:r>
                </w:p>
              </w:tc>
            </w:tr>
          </w:tbl>
          <w:p w14:paraId="5F0E3BDD" w14:textId="77777777" w:rsidR="00F75C6B" w:rsidRDefault="006122B8">
            <w:pPr>
              <w:spacing w:after="0" w:line="259" w:lineRule="auto"/>
              <w:ind w:left="2" w:firstLine="0"/>
            </w:pPr>
            <w:r>
              <w:rPr>
                <w:rFonts w:ascii="Times New Roman" w:eastAsia="Times New Roman" w:hAnsi="Times New Roman" w:cs="Times New Roman"/>
                <w:color w:val="333333"/>
              </w:rPr>
              <w:t xml:space="preserve"> </w:t>
            </w:r>
          </w:p>
          <w:tbl>
            <w:tblPr>
              <w:tblStyle w:val="TableGrid"/>
              <w:tblW w:w="6086" w:type="dxa"/>
              <w:tblInd w:w="9" w:type="dxa"/>
              <w:tblCellMar>
                <w:top w:w="0" w:type="dxa"/>
                <w:left w:w="300" w:type="dxa"/>
                <w:bottom w:w="0" w:type="dxa"/>
                <w:right w:w="115" w:type="dxa"/>
              </w:tblCellMar>
              <w:tblLook w:val="04A0" w:firstRow="1" w:lastRow="0" w:firstColumn="1" w:lastColumn="0" w:noHBand="0" w:noVBand="1"/>
            </w:tblPr>
            <w:tblGrid>
              <w:gridCol w:w="6086"/>
            </w:tblGrid>
            <w:tr w:rsidR="00F75C6B" w14:paraId="78E24AAE" w14:textId="77777777">
              <w:trPr>
                <w:trHeight w:val="807"/>
              </w:trPr>
              <w:tc>
                <w:tcPr>
                  <w:tcW w:w="6086" w:type="dxa"/>
                  <w:tcBorders>
                    <w:top w:val="single" w:sz="6" w:space="0" w:color="DDDDDD"/>
                    <w:left w:val="single" w:sz="6" w:space="0" w:color="DDDDDD"/>
                    <w:bottom w:val="single" w:sz="6" w:space="0" w:color="DDDDDD"/>
                    <w:right w:val="single" w:sz="6" w:space="0" w:color="DDDDDD"/>
                  </w:tcBorders>
                  <w:vAlign w:val="center"/>
                </w:tcPr>
                <w:p w14:paraId="401B7848" w14:textId="77777777" w:rsidR="00F75C6B" w:rsidRDefault="006122B8">
                  <w:pPr>
                    <w:spacing w:after="0" w:line="259" w:lineRule="auto"/>
                    <w:ind w:left="0" w:firstLine="0"/>
                  </w:pPr>
                  <w:r>
                    <w:rPr>
                      <w:rFonts w:ascii="Times New Roman" w:eastAsia="Times New Roman" w:hAnsi="Times New Roman" w:cs="Times New Roman"/>
                      <w:color w:val="333333"/>
                    </w:rPr>
                    <w:t xml:space="preserve">Pour un taux d’invalidité inférieur à 50%, la quotité de la rente est liée au taux d’invalidité </w:t>
                  </w:r>
                </w:p>
              </w:tc>
            </w:tr>
          </w:tbl>
          <w:p w14:paraId="1C57DDF7" w14:textId="77777777" w:rsidR="00F75C6B" w:rsidRDefault="00F75C6B">
            <w:pPr>
              <w:spacing w:after="160" w:line="259" w:lineRule="auto"/>
              <w:ind w:left="0" w:firstLine="0"/>
            </w:pPr>
          </w:p>
        </w:tc>
        <w:tc>
          <w:tcPr>
            <w:tcW w:w="2191" w:type="dxa"/>
            <w:tcBorders>
              <w:top w:val="single" w:sz="6" w:space="0" w:color="DDDDDD"/>
              <w:left w:val="single" w:sz="6" w:space="0" w:color="DDDDDD"/>
              <w:bottom w:val="single" w:sz="6" w:space="0" w:color="DDDDDD"/>
              <w:right w:val="single" w:sz="6" w:space="0" w:color="DDDDDD"/>
            </w:tcBorders>
          </w:tcPr>
          <w:p w14:paraId="71EAFDCE" w14:textId="77777777" w:rsidR="00F75C6B" w:rsidRDefault="006122B8">
            <w:pPr>
              <w:spacing w:after="0" w:line="259" w:lineRule="auto"/>
              <w:ind w:left="1" w:right="36" w:firstLine="0"/>
            </w:pPr>
            <w:r>
              <w:rPr>
                <w:rFonts w:ascii="Times New Roman" w:eastAsia="Times New Roman" w:hAnsi="Times New Roman" w:cs="Times New Roman"/>
                <w:color w:val="333333"/>
              </w:rPr>
              <w:t xml:space="preserve">La rente d'invalidité annuelle correspond à 6,8 % de l'avoir de vieillesse  </w:t>
            </w:r>
          </w:p>
        </w:tc>
      </w:tr>
      <w:tr w:rsidR="00F75C6B" w14:paraId="3E23C738" w14:textId="77777777">
        <w:trPr>
          <w:trHeight w:val="1886"/>
        </w:trPr>
        <w:tc>
          <w:tcPr>
            <w:tcW w:w="1808" w:type="dxa"/>
            <w:tcBorders>
              <w:top w:val="single" w:sz="6" w:space="0" w:color="DDDDDD"/>
              <w:left w:val="single" w:sz="6" w:space="0" w:color="DDDDDD"/>
              <w:bottom w:val="single" w:sz="6" w:space="0" w:color="DDDDDD"/>
              <w:right w:val="single" w:sz="6" w:space="0" w:color="DDDDDD"/>
            </w:tcBorders>
          </w:tcPr>
          <w:p w14:paraId="2E3C9B23" w14:textId="77777777" w:rsidR="00F75C6B" w:rsidRDefault="006122B8">
            <w:pPr>
              <w:spacing w:after="0" w:line="259" w:lineRule="auto"/>
              <w:ind w:left="0" w:firstLine="0"/>
            </w:pPr>
            <w:proofErr w:type="gramStart"/>
            <w:r>
              <w:rPr>
                <w:color w:val="333333"/>
              </w:rPr>
              <w:t>rente</w:t>
            </w:r>
            <w:proofErr w:type="gramEnd"/>
            <w:r>
              <w:rPr>
                <w:color w:val="333333"/>
              </w:rPr>
              <w:t xml:space="preserve"> pour enfant </w:t>
            </w:r>
          </w:p>
        </w:tc>
        <w:tc>
          <w:tcPr>
            <w:tcW w:w="6339" w:type="dxa"/>
            <w:tcBorders>
              <w:top w:val="single" w:sz="6" w:space="0" w:color="DDDDDD"/>
              <w:left w:val="single" w:sz="6" w:space="0" w:color="DDDDDD"/>
              <w:bottom w:val="single" w:sz="6" w:space="0" w:color="DDDDDD"/>
              <w:right w:val="single" w:sz="6" w:space="0" w:color="DDDDDD"/>
            </w:tcBorders>
          </w:tcPr>
          <w:p w14:paraId="66185DE3" w14:textId="77777777" w:rsidR="00F75C6B" w:rsidRDefault="006122B8">
            <w:pPr>
              <w:spacing w:after="0" w:line="259" w:lineRule="auto"/>
              <w:ind w:left="2" w:right="173" w:firstLine="0"/>
            </w:pPr>
            <w:r>
              <w:rPr>
                <w:color w:val="333333"/>
              </w:rPr>
              <w:t>Bénéficiaires d’une rente d’invalidité</w:t>
            </w:r>
            <w:r>
              <w:rPr>
                <w:color w:val="333333"/>
              </w:rPr>
              <w:t xml:space="preserve"> : en cas de décès de </w:t>
            </w:r>
            <w:r>
              <w:rPr>
                <w:color w:val="333333"/>
              </w:rPr>
              <w:t xml:space="preserve">l’ayant droit, l’enfant concerné remplit les conditions d’octroi d’une rente d’orphelin. La rente est versée jusqu’à l’âge de </w:t>
            </w:r>
            <w:r>
              <w:rPr>
                <w:color w:val="333333"/>
              </w:rPr>
              <w:t xml:space="preserve">18 </w:t>
            </w:r>
            <w:r>
              <w:rPr>
                <w:color w:val="333333"/>
              </w:rPr>
              <w:t>ans révolus, mais au plus jusqu’à l’âge de 25</w:t>
            </w:r>
            <w:r>
              <w:rPr>
                <w:color w:val="333333"/>
              </w:rPr>
              <w:t xml:space="preserve"> ans révolus, </w:t>
            </w:r>
            <w:r>
              <w:rPr>
                <w:color w:val="333333"/>
              </w:rPr>
              <w:t>tant qu’</w:t>
            </w:r>
            <w:r>
              <w:rPr>
                <w:color w:val="333333"/>
              </w:rPr>
              <w:t>il n’a pas terminé sa formation.</w:t>
            </w:r>
            <w:r>
              <w:rPr>
                <w:color w:val="333333"/>
              </w:rPr>
              <w:t xml:space="preserve"> </w:t>
            </w:r>
          </w:p>
        </w:tc>
        <w:tc>
          <w:tcPr>
            <w:tcW w:w="2191" w:type="dxa"/>
            <w:tcBorders>
              <w:top w:val="single" w:sz="6" w:space="0" w:color="DDDDDD"/>
              <w:left w:val="single" w:sz="6" w:space="0" w:color="DDDDDD"/>
              <w:bottom w:val="single" w:sz="6" w:space="0" w:color="DDDDDD"/>
              <w:right w:val="single" w:sz="6" w:space="0" w:color="DDDDDD"/>
            </w:tcBorders>
          </w:tcPr>
          <w:p w14:paraId="4FD6B4F1" w14:textId="77777777" w:rsidR="00F75C6B" w:rsidRDefault="006122B8">
            <w:pPr>
              <w:spacing w:after="0" w:line="240" w:lineRule="auto"/>
              <w:ind w:left="1" w:firstLine="0"/>
            </w:pPr>
            <w:r>
              <w:rPr>
                <w:color w:val="333333"/>
              </w:rPr>
              <w:t xml:space="preserve">20 % de la rente </w:t>
            </w:r>
            <w:r>
              <w:rPr>
                <w:color w:val="333333"/>
              </w:rPr>
              <w:t>d’invalidité</w:t>
            </w:r>
            <w:r>
              <w:rPr>
                <w:color w:val="333333"/>
              </w:rPr>
              <w:t xml:space="preserve"> ; </w:t>
            </w:r>
          </w:p>
          <w:p w14:paraId="7AE85578" w14:textId="77777777" w:rsidR="00F75C6B" w:rsidRDefault="006122B8">
            <w:pPr>
              <w:spacing w:after="0" w:line="259" w:lineRule="auto"/>
              <w:ind w:left="1" w:firstLine="0"/>
            </w:pPr>
            <w:proofErr w:type="gramStart"/>
            <w:r>
              <w:rPr>
                <w:color w:val="333333"/>
              </w:rPr>
              <w:t>versement</w:t>
            </w:r>
            <w:proofErr w:type="gramEnd"/>
            <w:r>
              <w:rPr>
                <w:color w:val="333333"/>
              </w:rPr>
              <w:t xml:space="preserve"> annuel </w:t>
            </w:r>
          </w:p>
        </w:tc>
      </w:tr>
      <w:tr w:rsidR="00F75C6B" w14:paraId="77516AEA" w14:textId="77777777">
        <w:trPr>
          <w:trHeight w:val="1298"/>
        </w:trPr>
        <w:tc>
          <w:tcPr>
            <w:tcW w:w="1808" w:type="dxa"/>
            <w:tcBorders>
              <w:top w:val="single" w:sz="6" w:space="0" w:color="DDDDDD"/>
              <w:left w:val="single" w:sz="6" w:space="0" w:color="DDDDDD"/>
              <w:bottom w:val="single" w:sz="6" w:space="0" w:color="DDDDDD"/>
              <w:right w:val="single" w:sz="6" w:space="0" w:color="DDDDDD"/>
            </w:tcBorders>
          </w:tcPr>
          <w:p w14:paraId="7D9E7519" w14:textId="77777777" w:rsidR="00F75C6B" w:rsidRDefault="006122B8">
            <w:pPr>
              <w:spacing w:after="0" w:line="259" w:lineRule="auto"/>
              <w:ind w:left="0" w:firstLine="0"/>
            </w:pPr>
            <w:r>
              <w:rPr>
                <w:color w:val="333333"/>
              </w:rPr>
              <w:t xml:space="preserve">Particularité : prestation en capital </w:t>
            </w:r>
          </w:p>
        </w:tc>
        <w:tc>
          <w:tcPr>
            <w:tcW w:w="6339" w:type="dxa"/>
            <w:tcBorders>
              <w:top w:val="single" w:sz="6" w:space="0" w:color="DDDDDD"/>
              <w:left w:val="single" w:sz="6" w:space="0" w:color="DDDDDD"/>
              <w:bottom w:val="single" w:sz="6" w:space="0" w:color="DDDDDD"/>
              <w:right w:val="single" w:sz="6" w:space="0" w:color="DDDDDD"/>
            </w:tcBorders>
          </w:tcPr>
          <w:p w14:paraId="42FF4468" w14:textId="77777777" w:rsidR="00F75C6B" w:rsidRDefault="006122B8">
            <w:pPr>
              <w:spacing w:after="0" w:line="259" w:lineRule="auto"/>
              <w:ind w:left="2" w:firstLine="0"/>
            </w:pPr>
            <w:r>
              <w:rPr>
                <w:i/>
                <w:color w:val="333333"/>
              </w:rPr>
              <w:t xml:space="preserve">En fonction des dispositions du règlement de l’institution de prévoyance : </w:t>
            </w:r>
            <w:r>
              <w:rPr>
                <w:color w:val="333333"/>
              </w:rPr>
              <w:t xml:space="preserve">retrait possible sous forme de capital </w:t>
            </w:r>
          </w:p>
        </w:tc>
        <w:tc>
          <w:tcPr>
            <w:tcW w:w="2191" w:type="dxa"/>
            <w:tcBorders>
              <w:top w:val="single" w:sz="6" w:space="0" w:color="DDDDDD"/>
              <w:left w:val="single" w:sz="6" w:space="0" w:color="DDDDDD"/>
              <w:bottom w:val="single" w:sz="6" w:space="0" w:color="DDDDDD"/>
              <w:right w:val="single" w:sz="6" w:space="0" w:color="DDDDDD"/>
            </w:tcBorders>
          </w:tcPr>
          <w:p w14:paraId="55F01B3A" w14:textId="77777777" w:rsidR="00F75C6B" w:rsidRDefault="006122B8">
            <w:pPr>
              <w:spacing w:after="0" w:line="259" w:lineRule="auto"/>
              <w:ind w:left="1" w:firstLine="0"/>
            </w:pPr>
            <w:proofErr w:type="gramStart"/>
            <w:r>
              <w:rPr>
                <w:color w:val="333333"/>
              </w:rPr>
              <w:t>versement</w:t>
            </w:r>
            <w:proofErr w:type="gramEnd"/>
            <w:r>
              <w:rPr>
                <w:color w:val="333333"/>
              </w:rPr>
              <w:t xml:space="preserve"> unique </w:t>
            </w:r>
          </w:p>
        </w:tc>
      </w:tr>
    </w:tbl>
    <w:p w14:paraId="097F93F7" w14:textId="77777777" w:rsidR="00F75C6B" w:rsidRDefault="006122B8">
      <w:pPr>
        <w:spacing w:after="306" w:line="259" w:lineRule="auto"/>
        <w:ind w:left="0" w:firstLine="0"/>
      </w:pPr>
      <w:r>
        <w:rPr>
          <w:color w:val="000000"/>
          <w:sz w:val="26"/>
        </w:rPr>
        <w:t xml:space="preserve"> </w:t>
      </w:r>
    </w:p>
    <w:p w14:paraId="7E5C0F11" w14:textId="77777777" w:rsidR="00F75C6B" w:rsidRDefault="006122B8">
      <w:pPr>
        <w:spacing w:after="304" w:line="259" w:lineRule="auto"/>
        <w:ind w:left="0" w:firstLine="0"/>
      </w:pPr>
      <w:r>
        <w:rPr>
          <w:color w:val="000000"/>
          <w:sz w:val="26"/>
        </w:rPr>
        <w:t xml:space="preserve"> </w:t>
      </w:r>
    </w:p>
    <w:p w14:paraId="2CBB030D" w14:textId="77777777" w:rsidR="00F75C6B" w:rsidRDefault="006122B8">
      <w:pPr>
        <w:spacing w:after="306" w:line="259" w:lineRule="auto"/>
        <w:ind w:left="0" w:firstLine="0"/>
      </w:pPr>
      <w:r>
        <w:rPr>
          <w:color w:val="000000"/>
          <w:sz w:val="26"/>
        </w:rPr>
        <w:t xml:space="preserve"> </w:t>
      </w:r>
    </w:p>
    <w:p w14:paraId="1D70D793" w14:textId="77777777" w:rsidR="00F75C6B" w:rsidRDefault="006122B8">
      <w:pPr>
        <w:spacing w:after="306" w:line="259" w:lineRule="auto"/>
        <w:ind w:left="0" w:firstLine="0"/>
      </w:pPr>
      <w:r>
        <w:rPr>
          <w:color w:val="000000"/>
          <w:sz w:val="26"/>
        </w:rPr>
        <w:t xml:space="preserve"> </w:t>
      </w:r>
    </w:p>
    <w:p w14:paraId="0D0AF1AE" w14:textId="77777777" w:rsidR="00F75C6B" w:rsidRDefault="006122B8">
      <w:pPr>
        <w:spacing w:after="0" w:line="259" w:lineRule="auto"/>
        <w:ind w:left="0" w:firstLine="0"/>
      </w:pPr>
      <w:r>
        <w:rPr>
          <w:color w:val="000000"/>
          <w:sz w:val="26"/>
        </w:rPr>
        <w:t xml:space="preserve"> </w:t>
      </w:r>
    </w:p>
    <w:p w14:paraId="77E65A6D" w14:textId="77777777" w:rsidR="00F75C6B" w:rsidRDefault="006122B8">
      <w:pPr>
        <w:pStyle w:val="Titre1"/>
        <w:ind w:left="-5"/>
      </w:pPr>
      <w:r>
        <w:t xml:space="preserve">Prévoyance pour les survivants </w:t>
      </w:r>
    </w:p>
    <w:p w14:paraId="5B280CF8" w14:textId="77777777" w:rsidR="00F75C6B" w:rsidRDefault="006122B8">
      <w:pPr>
        <w:spacing w:after="301" w:line="259" w:lineRule="auto"/>
        <w:ind w:left="0" w:firstLine="0"/>
      </w:pPr>
      <w:r>
        <w:t xml:space="preserve"> </w:t>
      </w:r>
    </w:p>
    <w:p w14:paraId="2A866C39" w14:textId="77777777" w:rsidR="00F75C6B" w:rsidRDefault="006122B8">
      <w:pPr>
        <w:ind w:left="-5"/>
      </w:pPr>
      <w:r>
        <w:t xml:space="preserve">Le conjoint survivant (homme ou femme) qui a un (des) enfant(s) à charge ou qui est âgé de 45 ans au moins et dont le mariage a duré cinq ans ou plus a droit à une rente de conjoint survivant. </w:t>
      </w:r>
    </w:p>
    <w:p w14:paraId="01F2904A" w14:textId="57AD05CE" w:rsidR="00F75C6B" w:rsidRDefault="006122B8">
      <w:pPr>
        <w:ind w:left="-5"/>
      </w:pPr>
      <w:r>
        <w:t xml:space="preserve">Si le conjoint survivant ne remplit aucune de ces conditions, </w:t>
      </w:r>
      <w:r>
        <w:t xml:space="preserve">une indemnité unique d'un montant équivalant à trois rentes annuelles lui est versée. Le droit à la rente de conjoint survivant disparaît en cas de remariage de l'ayant droit. Au décès de son ex-conjoint, le conjoint divorcé (homme ou femme) a aussi droit </w:t>
      </w:r>
      <w:r>
        <w:t>à une rente de survivant, à condition que le mariage ait duré dix ans au moins et que le conjoint divorcé survivant a bénéficié d'une rente ou d'une indemnité en capital en lieu et place d'une rente viagère, en vertu du jugement de divorce. Le montant de l</w:t>
      </w:r>
      <w:r>
        <w:t xml:space="preserve">a rente de survivant ne peut toutefois dépasser celui de la pension alimentaire. </w:t>
      </w:r>
    </w:p>
    <w:p w14:paraId="51962898" w14:textId="77777777" w:rsidR="00F75C6B" w:rsidRDefault="006122B8">
      <w:pPr>
        <w:ind w:left="-5"/>
      </w:pPr>
      <w:r>
        <w:lastRenderedPageBreak/>
        <w:t xml:space="preserve">Les partenaires enregistrés sont traités comme les personnes mariées, voire comme les personnes divorcées en cas de dissolution judiciaire du partenariat. </w:t>
      </w:r>
    </w:p>
    <w:p w14:paraId="08A03487" w14:textId="1EB4C7EA" w:rsidR="00F75C6B" w:rsidRDefault="006122B8">
      <w:pPr>
        <w:spacing w:after="20"/>
        <w:ind w:left="-5"/>
      </w:pPr>
      <w:r>
        <w:t>La personne assurée peut désigner comme bénéficiaire de prestation de survivant son ou sa partenaire non marié(e) ou non enregistré(e), si les partenaires ont formé une communauté de vie de 5 ans avant le décès ou s'ils ont dû subvenir à l'entretien d'enfa</w:t>
      </w:r>
      <w:r>
        <w:t xml:space="preserve">nt(s) commun(s). </w:t>
      </w:r>
    </w:p>
    <w:tbl>
      <w:tblPr>
        <w:tblStyle w:val="TableGrid"/>
        <w:tblW w:w="10338" w:type="dxa"/>
        <w:tblInd w:w="2" w:type="dxa"/>
        <w:tblCellMar>
          <w:top w:w="123" w:type="dxa"/>
          <w:left w:w="118" w:type="dxa"/>
          <w:bottom w:w="0" w:type="dxa"/>
          <w:right w:w="85" w:type="dxa"/>
        </w:tblCellMar>
        <w:tblLook w:val="04A0" w:firstRow="1" w:lastRow="0" w:firstColumn="1" w:lastColumn="0" w:noHBand="0" w:noVBand="1"/>
      </w:tblPr>
      <w:tblGrid>
        <w:gridCol w:w="2243"/>
        <w:gridCol w:w="5753"/>
        <w:gridCol w:w="2342"/>
      </w:tblGrid>
      <w:tr w:rsidR="00F75C6B" w14:paraId="63CBAC59" w14:textId="77777777">
        <w:trPr>
          <w:trHeight w:val="890"/>
        </w:trPr>
        <w:tc>
          <w:tcPr>
            <w:tcW w:w="7996" w:type="dxa"/>
            <w:gridSpan w:val="2"/>
            <w:tcBorders>
              <w:top w:val="nil"/>
              <w:left w:val="nil"/>
              <w:bottom w:val="single" w:sz="48" w:space="0" w:color="F5F5F5"/>
              <w:right w:val="nil"/>
            </w:tcBorders>
            <w:shd w:val="clear" w:color="auto" w:fill="F5F5F5"/>
          </w:tcPr>
          <w:p w14:paraId="050BD957" w14:textId="77777777" w:rsidR="00F75C6B" w:rsidRDefault="006122B8">
            <w:pPr>
              <w:spacing w:after="0" w:line="259" w:lineRule="auto"/>
              <w:ind w:left="0" w:firstLine="0"/>
            </w:pPr>
            <w:r>
              <w:rPr>
                <w:rFonts w:ascii="Times New Roman" w:eastAsia="Times New Roman" w:hAnsi="Times New Roman" w:cs="Times New Roman"/>
                <w:b/>
                <w:color w:val="757575"/>
              </w:rPr>
              <w:t xml:space="preserve">La LPP prévoit les prestations suivantes : </w:t>
            </w:r>
          </w:p>
        </w:tc>
        <w:tc>
          <w:tcPr>
            <w:tcW w:w="2342" w:type="dxa"/>
            <w:tcBorders>
              <w:top w:val="nil"/>
              <w:left w:val="nil"/>
              <w:bottom w:val="single" w:sz="48" w:space="0" w:color="F5F5F5"/>
              <w:right w:val="nil"/>
            </w:tcBorders>
            <w:shd w:val="clear" w:color="auto" w:fill="F5F5F5"/>
          </w:tcPr>
          <w:p w14:paraId="329D9E39" w14:textId="77777777" w:rsidR="00F75C6B" w:rsidRDefault="00F75C6B">
            <w:pPr>
              <w:spacing w:after="160" w:line="259" w:lineRule="auto"/>
              <w:ind w:left="0" w:firstLine="0"/>
            </w:pPr>
          </w:p>
        </w:tc>
      </w:tr>
      <w:tr w:rsidR="00F75C6B" w14:paraId="607FF54A" w14:textId="77777777">
        <w:trPr>
          <w:trHeight w:val="1073"/>
        </w:trPr>
        <w:tc>
          <w:tcPr>
            <w:tcW w:w="2243" w:type="dxa"/>
            <w:tcBorders>
              <w:top w:val="single" w:sz="48" w:space="0" w:color="F5F5F5"/>
              <w:left w:val="single" w:sz="6" w:space="0" w:color="DDDDDD"/>
              <w:bottom w:val="single" w:sz="6" w:space="0" w:color="DDDDDD"/>
              <w:right w:val="single" w:sz="6" w:space="0" w:color="DDDDDD"/>
            </w:tcBorders>
            <w:shd w:val="clear" w:color="auto" w:fill="F5F5F5"/>
          </w:tcPr>
          <w:p w14:paraId="179FC2A7" w14:textId="77777777" w:rsidR="00F75C6B" w:rsidRDefault="006122B8">
            <w:pPr>
              <w:spacing w:after="0" w:line="259" w:lineRule="auto"/>
              <w:ind w:left="0" w:firstLine="0"/>
            </w:pPr>
            <w:r>
              <w:rPr>
                <w:color w:val="000000"/>
              </w:rPr>
              <w:t xml:space="preserve">Prestation d'invalidité </w:t>
            </w:r>
          </w:p>
        </w:tc>
        <w:tc>
          <w:tcPr>
            <w:tcW w:w="5753" w:type="dxa"/>
            <w:tcBorders>
              <w:top w:val="single" w:sz="48" w:space="0" w:color="F5F5F5"/>
              <w:left w:val="single" w:sz="6" w:space="0" w:color="DDDDDD"/>
              <w:bottom w:val="single" w:sz="6" w:space="0" w:color="DDDDDD"/>
              <w:right w:val="single" w:sz="6" w:space="0" w:color="DDDDDD"/>
            </w:tcBorders>
            <w:shd w:val="clear" w:color="auto" w:fill="F5F5F5"/>
          </w:tcPr>
          <w:p w14:paraId="66FB3EDB" w14:textId="77777777" w:rsidR="00F75C6B" w:rsidRDefault="006122B8">
            <w:pPr>
              <w:spacing w:after="0" w:line="259" w:lineRule="auto"/>
              <w:ind w:left="2" w:firstLine="0"/>
            </w:pPr>
            <w:r>
              <w:rPr>
                <w:color w:val="000000"/>
              </w:rPr>
              <w:t xml:space="preserve">Conditions </w:t>
            </w:r>
          </w:p>
        </w:tc>
        <w:tc>
          <w:tcPr>
            <w:tcW w:w="2342" w:type="dxa"/>
            <w:tcBorders>
              <w:top w:val="single" w:sz="48" w:space="0" w:color="F5F5F5"/>
              <w:left w:val="single" w:sz="6" w:space="0" w:color="DDDDDD"/>
              <w:bottom w:val="single" w:sz="6" w:space="0" w:color="DDDDDD"/>
              <w:right w:val="single" w:sz="6" w:space="0" w:color="DDDDDD"/>
            </w:tcBorders>
            <w:shd w:val="clear" w:color="auto" w:fill="F5F5F5"/>
          </w:tcPr>
          <w:p w14:paraId="4FA74E9E" w14:textId="77777777" w:rsidR="00F75C6B" w:rsidRDefault="006122B8">
            <w:pPr>
              <w:spacing w:after="0" w:line="259" w:lineRule="auto"/>
              <w:ind w:left="3" w:firstLine="0"/>
            </w:pPr>
            <w:r>
              <w:rPr>
                <w:color w:val="000000"/>
              </w:rPr>
              <w:t xml:space="preserve">Montant annuel </w:t>
            </w:r>
          </w:p>
        </w:tc>
      </w:tr>
      <w:tr w:rsidR="00F75C6B" w14:paraId="5DC724C8" w14:textId="77777777">
        <w:trPr>
          <w:trHeight w:val="2975"/>
        </w:trPr>
        <w:tc>
          <w:tcPr>
            <w:tcW w:w="2243" w:type="dxa"/>
            <w:tcBorders>
              <w:top w:val="single" w:sz="6" w:space="0" w:color="DDDDDD"/>
              <w:left w:val="single" w:sz="6" w:space="0" w:color="DDDDDD"/>
              <w:bottom w:val="single" w:sz="6" w:space="0" w:color="DDDDDD"/>
              <w:right w:val="single" w:sz="6" w:space="0" w:color="DDDDDD"/>
            </w:tcBorders>
          </w:tcPr>
          <w:p w14:paraId="27F1F552" w14:textId="77777777" w:rsidR="00F75C6B" w:rsidRDefault="006122B8">
            <w:pPr>
              <w:spacing w:after="0" w:line="240" w:lineRule="auto"/>
              <w:ind w:left="0" w:firstLine="0"/>
            </w:pPr>
            <w:r>
              <w:rPr>
                <w:color w:val="333333"/>
              </w:rPr>
              <w:t xml:space="preserve">Rente de conjoint survivant (veuve </w:t>
            </w:r>
            <w:proofErr w:type="gramStart"/>
            <w:r>
              <w:rPr>
                <w:color w:val="333333"/>
              </w:rPr>
              <w:t>ou</w:t>
            </w:r>
            <w:proofErr w:type="gramEnd"/>
            <w:r>
              <w:rPr>
                <w:color w:val="333333"/>
              </w:rPr>
              <w:t xml:space="preserve"> </w:t>
            </w:r>
          </w:p>
          <w:p w14:paraId="085D11AD" w14:textId="499B8A7E" w:rsidR="00F75C6B" w:rsidRDefault="006122B8">
            <w:pPr>
              <w:spacing w:after="0" w:line="259" w:lineRule="auto"/>
              <w:ind w:left="0" w:firstLine="0"/>
            </w:pPr>
            <w:proofErr w:type="gramStart"/>
            <w:r>
              <w:rPr>
                <w:color w:val="333333"/>
              </w:rPr>
              <w:t>veuf</w:t>
            </w:r>
            <w:proofErr w:type="gramEnd"/>
            <w:r>
              <w:rPr>
                <w:color w:val="333333"/>
              </w:rPr>
              <w:t xml:space="preserve">) </w:t>
            </w:r>
          </w:p>
        </w:tc>
        <w:tc>
          <w:tcPr>
            <w:tcW w:w="5753" w:type="dxa"/>
            <w:tcBorders>
              <w:top w:val="single" w:sz="6" w:space="0" w:color="DDDDDD"/>
              <w:left w:val="single" w:sz="6" w:space="0" w:color="DDDDDD"/>
              <w:bottom w:val="single" w:sz="6" w:space="0" w:color="DDDDDD"/>
              <w:right w:val="single" w:sz="6" w:space="0" w:color="DDDDDD"/>
            </w:tcBorders>
            <w:vAlign w:val="center"/>
          </w:tcPr>
          <w:p w14:paraId="757BC6E0" w14:textId="59CCDF59" w:rsidR="00F75C6B" w:rsidRDefault="006122B8">
            <w:pPr>
              <w:spacing w:after="166" w:line="240" w:lineRule="auto"/>
              <w:ind w:left="2" w:firstLine="0"/>
            </w:pPr>
            <w:proofErr w:type="spellStart"/>
            <w:r>
              <w:rPr>
                <w:color w:val="333333"/>
              </w:rPr>
              <w:t>Etre</w:t>
            </w:r>
            <w:proofErr w:type="spellEnd"/>
            <w:r>
              <w:rPr>
                <w:color w:val="333333"/>
              </w:rPr>
              <w:t xml:space="preserve"> veuve ou veuf, avoir un (des) enfant(s) à charge ou être âgé(e) de 45 ans au moins et avoir été marié(e) depuis 5 ans ou plus. </w:t>
            </w:r>
          </w:p>
          <w:p w14:paraId="288985F3" w14:textId="0ED42953" w:rsidR="00F75C6B" w:rsidRDefault="006122B8">
            <w:pPr>
              <w:spacing w:after="0" w:line="259" w:lineRule="auto"/>
              <w:ind w:left="2" w:firstLine="0"/>
            </w:pPr>
            <w:r>
              <w:rPr>
                <w:color w:val="333333"/>
              </w:rPr>
              <w:t>Le conjoint divorcé est assimilé au veuf ou à la veuve en cas de décès de son ancien conjoint à condition que son mariage a</w:t>
            </w:r>
            <w:r>
              <w:rPr>
                <w:color w:val="333333"/>
              </w:rPr>
              <w:t xml:space="preserve">it duré 10 ans au moins, et qu'une contribution </w:t>
            </w:r>
            <w:r>
              <w:rPr>
                <w:color w:val="333333"/>
              </w:rPr>
              <w:t xml:space="preserve">d’entretien ou une indemnité équitable sous forme de </w:t>
            </w:r>
            <w:r>
              <w:rPr>
                <w:color w:val="333333"/>
              </w:rPr>
              <w:t xml:space="preserve">rente lui ait été octroyée lors du divorce. </w:t>
            </w:r>
          </w:p>
        </w:tc>
        <w:tc>
          <w:tcPr>
            <w:tcW w:w="2342" w:type="dxa"/>
            <w:tcBorders>
              <w:top w:val="single" w:sz="6" w:space="0" w:color="DDDDDD"/>
              <w:left w:val="single" w:sz="6" w:space="0" w:color="DDDDDD"/>
              <w:bottom w:val="single" w:sz="6" w:space="0" w:color="DDDDDD"/>
              <w:right w:val="single" w:sz="6" w:space="0" w:color="DDDDDD"/>
            </w:tcBorders>
          </w:tcPr>
          <w:p w14:paraId="3EE47772" w14:textId="77777777" w:rsidR="00F75C6B" w:rsidRDefault="006122B8">
            <w:pPr>
              <w:spacing w:after="0" w:line="259" w:lineRule="auto"/>
              <w:ind w:left="3" w:firstLine="0"/>
            </w:pPr>
            <w:r>
              <w:rPr>
                <w:color w:val="333333"/>
              </w:rPr>
              <w:t xml:space="preserve">60 % de la rente de vieillesse versée ou de la rente d'invalidité complète. </w:t>
            </w:r>
          </w:p>
        </w:tc>
      </w:tr>
      <w:tr w:rsidR="00F75C6B" w14:paraId="6EB08AD3" w14:textId="77777777">
        <w:trPr>
          <w:trHeight w:val="1721"/>
        </w:trPr>
        <w:tc>
          <w:tcPr>
            <w:tcW w:w="2243" w:type="dxa"/>
            <w:tcBorders>
              <w:top w:val="single" w:sz="6" w:space="0" w:color="DDDDDD"/>
              <w:left w:val="single" w:sz="6" w:space="0" w:color="DDDDDD"/>
              <w:bottom w:val="single" w:sz="6" w:space="0" w:color="DDDDDD"/>
              <w:right w:val="single" w:sz="6" w:space="0" w:color="DDDDDD"/>
            </w:tcBorders>
          </w:tcPr>
          <w:p w14:paraId="3BDAFABA" w14:textId="647EA3E9" w:rsidR="00F75C6B" w:rsidRDefault="006122B8">
            <w:pPr>
              <w:spacing w:after="0" w:line="259" w:lineRule="auto"/>
              <w:ind w:left="0" w:firstLine="0"/>
            </w:pPr>
            <w:r>
              <w:rPr>
                <w:color w:val="333333"/>
              </w:rPr>
              <w:t xml:space="preserve">Prestation en capital en faveur du conjoint survivant </w:t>
            </w:r>
          </w:p>
        </w:tc>
        <w:tc>
          <w:tcPr>
            <w:tcW w:w="5753" w:type="dxa"/>
            <w:tcBorders>
              <w:top w:val="single" w:sz="6" w:space="0" w:color="DDDDDD"/>
              <w:left w:val="single" w:sz="6" w:space="0" w:color="DDDDDD"/>
              <w:bottom w:val="single" w:sz="6" w:space="0" w:color="DDDDDD"/>
              <w:right w:val="single" w:sz="6" w:space="0" w:color="DDDDDD"/>
            </w:tcBorders>
          </w:tcPr>
          <w:p w14:paraId="5AD184E4" w14:textId="77777777" w:rsidR="00F75C6B" w:rsidRDefault="006122B8">
            <w:pPr>
              <w:spacing w:after="0" w:line="259" w:lineRule="auto"/>
              <w:ind w:left="2" w:firstLine="0"/>
            </w:pPr>
            <w:r>
              <w:rPr>
                <w:color w:val="333333"/>
              </w:rPr>
              <w:t xml:space="preserve">Ne pas avoir droit à une rente de conjoint survivant </w:t>
            </w:r>
          </w:p>
        </w:tc>
        <w:tc>
          <w:tcPr>
            <w:tcW w:w="2342" w:type="dxa"/>
            <w:tcBorders>
              <w:top w:val="single" w:sz="6" w:space="0" w:color="DDDDDD"/>
              <w:left w:val="single" w:sz="6" w:space="0" w:color="DDDDDD"/>
              <w:bottom w:val="single" w:sz="6" w:space="0" w:color="DDDDDD"/>
              <w:right w:val="single" w:sz="6" w:space="0" w:color="DDDDDD"/>
            </w:tcBorders>
            <w:vAlign w:val="center"/>
          </w:tcPr>
          <w:p w14:paraId="32E3F812" w14:textId="77777777" w:rsidR="00F75C6B" w:rsidRDefault="006122B8">
            <w:pPr>
              <w:spacing w:after="0" w:line="259" w:lineRule="auto"/>
              <w:ind w:left="3" w:firstLine="0"/>
            </w:pPr>
            <w:r>
              <w:rPr>
                <w:color w:val="333333"/>
              </w:rPr>
              <w:t>Equivalent de trois rentes annuelles versées sous la forme d'une inde</w:t>
            </w:r>
            <w:r>
              <w:rPr>
                <w:color w:val="333333"/>
              </w:rPr>
              <w:t xml:space="preserve">mnité unique </w:t>
            </w:r>
          </w:p>
        </w:tc>
      </w:tr>
      <w:tr w:rsidR="00F75C6B" w14:paraId="7D9E8FE9" w14:textId="77777777">
        <w:trPr>
          <w:trHeight w:val="1884"/>
        </w:trPr>
        <w:tc>
          <w:tcPr>
            <w:tcW w:w="2243" w:type="dxa"/>
            <w:tcBorders>
              <w:top w:val="single" w:sz="6" w:space="0" w:color="DDDDDD"/>
              <w:left w:val="single" w:sz="6" w:space="0" w:color="DDDDDD"/>
              <w:bottom w:val="single" w:sz="6" w:space="0" w:color="DDDDDD"/>
              <w:right w:val="single" w:sz="6" w:space="0" w:color="DDDDDD"/>
            </w:tcBorders>
          </w:tcPr>
          <w:p w14:paraId="05CABB04" w14:textId="6655BA21" w:rsidR="00F75C6B" w:rsidRDefault="006122B8">
            <w:pPr>
              <w:spacing w:after="0" w:line="259" w:lineRule="auto"/>
              <w:ind w:left="0" w:firstLine="0"/>
            </w:pPr>
            <w:r>
              <w:rPr>
                <w:color w:val="333333"/>
              </w:rPr>
              <w:t xml:space="preserve">Rente de survivant pour le partenaire enregistré </w:t>
            </w:r>
          </w:p>
        </w:tc>
        <w:tc>
          <w:tcPr>
            <w:tcW w:w="5753" w:type="dxa"/>
            <w:tcBorders>
              <w:top w:val="single" w:sz="6" w:space="0" w:color="DDDDDD"/>
              <w:left w:val="single" w:sz="6" w:space="0" w:color="DDDDDD"/>
              <w:bottom w:val="single" w:sz="6" w:space="0" w:color="DDDDDD"/>
              <w:right w:val="single" w:sz="6" w:space="0" w:color="DDDDDD"/>
            </w:tcBorders>
            <w:vAlign w:val="center"/>
          </w:tcPr>
          <w:p w14:paraId="4D752D64" w14:textId="77777777" w:rsidR="00F75C6B" w:rsidRDefault="006122B8">
            <w:pPr>
              <w:spacing w:after="166" w:line="240" w:lineRule="auto"/>
              <w:ind w:left="2" w:right="1" w:firstLine="0"/>
            </w:pPr>
            <w:r>
              <w:rPr>
                <w:color w:val="333333"/>
              </w:rPr>
              <w:t xml:space="preserve">Le partenariat enregistré doit avoir duré au moins 5 ans. </w:t>
            </w:r>
            <w:proofErr w:type="gramStart"/>
            <w:r>
              <w:rPr>
                <w:color w:val="333333"/>
              </w:rPr>
              <w:t>de</w:t>
            </w:r>
            <w:proofErr w:type="gramEnd"/>
            <w:r>
              <w:rPr>
                <w:color w:val="333333"/>
              </w:rPr>
              <w:t xml:space="preserve"> plus, le partenaire survivant doit être âgé de 45 ans ou avoir au moins un enfant à charge. </w:t>
            </w:r>
          </w:p>
          <w:p w14:paraId="235B4439" w14:textId="77777777" w:rsidR="00F75C6B" w:rsidRDefault="006122B8">
            <w:pPr>
              <w:spacing w:after="0" w:line="259" w:lineRule="auto"/>
              <w:ind w:left="2" w:firstLine="0"/>
            </w:pPr>
            <w:r>
              <w:rPr>
                <w:color w:val="333333"/>
              </w:rPr>
              <w:t>L'ex-partenaire survivant</w:t>
            </w:r>
            <w:r>
              <w:rPr>
                <w:i/>
                <w:color w:val="333333"/>
              </w:rPr>
              <w:t xml:space="preserve"> </w:t>
            </w:r>
            <w:r>
              <w:rPr>
                <w:color w:val="333333"/>
              </w:rPr>
              <w:t>est assimilé à l'ex-conjoint survivant à condition que le partenariat enregi</w:t>
            </w:r>
            <w:r>
              <w:rPr>
                <w:color w:val="333333"/>
              </w:rPr>
              <w:t xml:space="preserve">stré ait </w:t>
            </w:r>
          </w:p>
        </w:tc>
        <w:tc>
          <w:tcPr>
            <w:tcW w:w="2342" w:type="dxa"/>
            <w:tcBorders>
              <w:top w:val="single" w:sz="6" w:space="0" w:color="DDDDDD"/>
              <w:left w:val="single" w:sz="6" w:space="0" w:color="DDDDDD"/>
              <w:bottom w:val="single" w:sz="6" w:space="0" w:color="DDDDDD"/>
              <w:right w:val="single" w:sz="6" w:space="0" w:color="DDDDDD"/>
            </w:tcBorders>
          </w:tcPr>
          <w:p w14:paraId="7F5511F3" w14:textId="77777777" w:rsidR="00F75C6B" w:rsidRDefault="006122B8">
            <w:pPr>
              <w:spacing w:after="0" w:line="259" w:lineRule="auto"/>
              <w:ind w:left="3" w:firstLine="0"/>
            </w:pPr>
            <w:r>
              <w:rPr>
                <w:color w:val="333333"/>
              </w:rPr>
              <w:t xml:space="preserve">60 % de la rente de vieillesse ou de la rente d'invalidité entière </w:t>
            </w:r>
          </w:p>
        </w:tc>
      </w:tr>
      <w:tr w:rsidR="00F75C6B" w14:paraId="5E73582C" w14:textId="77777777">
        <w:trPr>
          <w:trHeight w:val="890"/>
        </w:trPr>
        <w:tc>
          <w:tcPr>
            <w:tcW w:w="7996" w:type="dxa"/>
            <w:gridSpan w:val="2"/>
            <w:tcBorders>
              <w:top w:val="nil"/>
              <w:left w:val="nil"/>
              <w:bottom w:val="single" w:sz="48" w:space="0" w:color="F5F5F5"/>
              <w:right w:val="nil"/>
            </w:tcBorders>
            <w:shd w:val="clear" w:color="auto" w:fill="F5F5F5"/>
          </w:tcPr>
          <w:p w14:paraId="4703C891" w14:textId="5A7E7A83" w:rsidR="00F75C6B" w:rsidRDefault="006122B8">
            <w:pPr>
              <w:spacing w:after="0" w:line="259" w:lineRule="auto"/>
              <w:ind w:left="0" w:firstLine="0"/>
            </w:pPr>
            <w:r>
              <w:rPr>
                <w:rFonts w:ascii="Times New Roman" w:eastAsia="Times New Roman" w:hAnsi="Times New Roman" w:cs="Times New Roman"/>
                <w:b/>
                <w:color w:val="757575"/>
              </w:rPr>
              <w:t xml:space="preserve">La LPP prévoit les prestations suivantes : </w:t>
            </w:r>
          </w:p>
        </w:tc>
        <w:tc>
          <w:tcPr>
            <w:tcW w:w="2342" w:type="dxa"/>
            <w:tcBorders>
              <w:top w:val="nil"/>
              <w:left w:val="nil"/>
              <w:bottom w:val="single" w:sz="48" w:space="0" w:color="F5F5F5"/>
              <w:right w:val="nil"/>
            </w:tcBorders>
            <w:shd w:val="clear" w:color="auto" w:fill="F5F5F5"/>
          </w:tcPr>
          <w:p w14:paraId="7732444E" w14:textId="77777777" w:rsidR="00F75C6B" w:rsidRDefault="00F75C6B">
            <w:pPr>
              <w:spacing w:after="160" w:line="259" w:lineRule="auto"/>
              <w:ind w:left="0" w:firstLine="0"/>
            </w:pPr>
          </w:p>
        </w:tc>
      </w:tr>
      <w:tr w:rsidR="00F75C6B" w14:paraId="312AB9E2" w14:textId="77777777">
        <w:trPr>
          <w:trHeight w:val="1072"/>
        </w:trPr>
        <w:tc>
          <w:tcPr>
            <w:tcW w:w="2243" w:type="dxa"/>
            <w:tcBorders>
              <w:top w:val="single" w:sz="48" w:space="0" w:color="F5F5F5"/>
              <w:left w:val="single" w:sz="6" w:space="0" w:color="DDDDDD"/>
              <w:bottom w:val="single" w:sz="6" w:space="0" w:color="DDDDDD"/>
              <w:right w:val="single" w:sz="6" w:space="0" w:color="DDDDDD"/>
            </w:tcBorders>
            <w:shd w:val="clear" w:color="auto" w:fill="F5F5F5"/>
          </w:tcPr>
          <w:p w14:paraId="0A0A894C" w14:textId="77777777" w:rsidR="00F75C6B" w:rsidRDefault="006122B8">
            <w:pPr>
              <w:spacing w:after="0" w:line="259" w:lineRule="auto"/>
              <w:ind w:left="0" w:firstLine="0"/>
            </w:pPr>
            <w:r>
              <w:rPr>
                <w:color w:val="000000"/>
              </w:rPr>
              <w:t xml:space="preserve">Prestation d'invalidité </w:t>
            </w:r>
          </w:p>
        </w:tc>
        <w:tc>
          <w:tcPr>
            <w:tcW w:w="5753" w:type="dxa"/>
            <w:tcBorders>
              <w:top w:val="single" w:sz="48" w:space="0" w:color="F5F5F5"/>
              <w:left w:val="single" w:sz="6" w:space="0" w:color="DDDDDD"/>
              <w:bottom w:val="single" w:sz="6" w:space="0" w:color="DDDDDD"/>
              <w:right w:val="single" w:sz="6" w:space="0" w:color="DDDDDD"/>
            </w:tcBorders>
            <w:shd w:val="clear" w:color="auto" w:fill="F5F5F5"/>
          </w:tcPr>
          <w:p w14:paraId="5141DF02" w14:textId="77777777" w:rsidR="00F75C6B" w:rsidRDefault="006122B8">
            <w:pPr>
              <w:spacing w:after="0" w:line="259" w:lineRule="auto"/>
              <w:ind w:left="2" w:firstLine="0"/>
            </w:pPr>
            <w:r>
              <w:rPr>
                <w:color w:val="000000"/>
              </w:rPr>
              <w:t xml:space="preserve">Conditions </w:t>
            </w:r>
          </w:p>
        </w:tc>
        <w:tc>
          <w:tcPr>
            <w:tcW w:w="2342" w:type="dxa"/>
            <w:tcBorders>
              <w:top w:val="single" w:sz="48" w:space="0" w:color="F5F5F5"/>
              <w:left w:val="single" w:sz="6" w:space="0" w:color="DDDDDD"/>
              <w:bottom w:val="single" w:sz="6" w:space="0" w:color="DDDDDD"/>
              <w:right w:val="single" w:sz="6" w:space="0" w:color="DDDDDD"/>
            </w:tcBorders>
            <w:shd w:val="clear" w:color="auto" w:fill="F5F5F5"/>
          </w:tcPr>
          <w:p w14:paraId="6715249E" w14:textId="77777777" w:rsidR="00F75C6B" w:rsidRDefault="006122B8">
            <w:pPr>
              <w:spacing w:after="0" w:line="259" w:lineRule="auto"/>
              <w:ind w:left="3" w:firstLine="0"/>
            </w:pPr>
            <w:r>
              <w:rPr>
                <w:color w:val="000000"/>
              </w:rPr>
              <w:t xml:space="preserve">Montant annuel </w:t>
            </w:r>
          </w:p>
        </w:tc>
      </w:tr>
      <w:tr w:rsidR="00F75C6B" w14:paraId="3DAAAC6B" w14:textId="77777777">
        <w:trPr>
          <w:trHeight w:val="1345"/>
        </w:trPr>
        <w:tc>
          <w:tcPr>
            <w:tcW w:w="2243" w:type="dxa"/>
            <w:tcBorders>
              <w:top w:val="single" w:sz="6" w:space="0" w:color="DDDDDD"/>
              <w:left w:val="single" w:sz="6" w:space="0" w:color="DDDDDD"/>
              <w:bottom w:val="single" w:sz="6" w:space="0" w:color="DDDDDD"/>
              <w:right w:val="single" w:sz="6" w:space="0" w:color="DDDDDD"/>
            </w:tcBorders>
          </w:tcPr>
          <w:p w14:paraId="4F29EFF0" w14:textId="77777777" w:rsidR="00F75C6B" w:rsidRDefault="00F75C6B">
            <w:pPr>
              <w:spacing w:after="160" w:line="259" w:lineRule="auto"/>
              <w:ind w:left="0" w:firstLine="0"/>
            </w:pPr>
          </w:p>
        </w:tc>
        <w:tc>
          <w:tcPr>
            <w:tcW w:w="5753" w:type="dxa"/>
            <w:tcBorders>
              <w:top w:val="single" w:sz="6" w:space="0" w:color="DDDDDD"/>
              <w:left w:val="single" w:sz="6" w:space="0" w:color="DDDDDD"/>
              <w:bottom w:val="single" w:sz="6" w:space="0" w:color="DDDDDD"/>
              <w:right w:val="single" w:sz="6" w:space="0" w:color="DDDDDD"/>
            </w:tcBorders>
            <w:vAlign w:val="center"/>
          </w:tcPr>
          <w:p w14:paraId="16E6A60D" w14:textId="53BB1306" w:rsidR="00F75C6B" w:rsidRDefault="006122B8">
            <w:pPr>
              <w:spacing w:after="0" w:line="259" w:lineRule="auto"/>
              <w:ind w:left="2" w:firstLine="0"/>
            </w:pPr>
            <w:proofErr w:type="gramStart"/>
            <w:r>
              <w:rPr>
                <w:color w:val="333333"/>
              </w:rPr>
              <w:t>duré</w:t>
            </w:r>
            <w:proofErr w:type="gramEnd"/>
            <w:r>
              <w:rPr>
                <w:color w:val="333333"/>
              </w:rPr>
              <w:t xml:space="preserve"> 10 ans au moins, et </w:t>
            </w:r>
            <w:r>
              <w:rPr>
                <w:color w:val="333333"/>
              </w:rPr>
              <w:t xml:space="preserve">qu'une contribution d’entretien </w:t>
            </w:r>
            <w:r>
              <w:rPr>
                <w:color w:val="333333"/>
              </w:rPr>
              <w:t xml:space="preserve">ou une indemnité équitable sous forme de rente lui ait été octroyée lors de la dissolution du partenariat. </w:t>
            </w:r>
          </w:p>
        </w:tc>
        <w:tc>
          <w:tcPr>
            <w:tcW w:w="2342" w:type="dxa"/>
            <w:tcBorders>
              <w:top w:val="single" w:sz="6" w:space="0" w:color="DDDDDD"/>
              <w:left w:val="single" w:sz="6" w:space="0" w:color="DDDDDD"/>
              <w:bottom w:val="single" w:sz="6" w:space="0" w:color="DDDDDD"/>
              <w:right w:val="single" w:sz="6" w:space="0" w:color="DDDDDD"/>
            </w:tcBorders>
          </w:tcPr>
          <w:p w14:paraId="297D0EBA" w14:textId="77777777" w:rsidR="00F75C6B" w:rsidRDefault="00F75C6B">
            <w:pPr>
              <w:spacing w:after="160" w:line="259" w:lineRule="auto"/>
              <w:ind w:left="0" w:firstLine="0"/>
            </w:pPr>
          </w:p>
        </w:tc>
      </w:tr>
      <w:tr w:rsidR="00F75C6B" w14:paraId="1472012D" w14:textId="77777777">
        <w:trPr>
          <w:trHeight w:val="1721"/>
        </w:trPr>
        <w:tc>
          <w:tcPr>
            <w:tcW w:w="2243" w:type="dxa"/>
            <w:tcBorders>
              <w:top w:val="single" w:sz="6" w:space="0" w:color="DDDDDD"/>
              <w:left w:val="single" w:sz="6" w:space="0" w:color="DDDDDD"/>
              <w:bottom w:val="single" w:sz="6" w:space="0" w:color="DDDDDD"/>
              <w:right w:val="single" w:sz="6" w:space="0" w:color="DDDDDD"/>
            </w:tcBorders>
          </w:tcPr>
          <w:p w14:paraId="57A55D36" w14:textId="77777777" w:rsidR="00F75C6B" w:rsidRDefault="006122B8">
            <w:pPr>
              <w:spacing w:after="0" w:line="259" w:lineRule="auto"/>
              <w:ind w:left="0" w:firstLine="0"/>
            </w:pPr>
            <w:r>
              <w:rPr>
                <w:color w:val="333333"/>
              </w:rPr>
              <w:lastRenderedPageBreak/>
              <w:t xml:space="preserve">Prestation en capital en faveur du partenaire enregistré survivant </w:t>
            </w:r>
          </w:p>
        </w:tc>
        <w:tc>
          <w:tcPr>
            <w:tcW w:w="5753" w:type="dxa"/>
            <w:tcBorders>
              <w:top w:val="single" w:sz="6" w:space="0" w:color="DDDDDD"/>
              <w:left w:val="single" w:sz="6" w:space="0" w:color="DDDDDD"/>
              <w:bottom w:val="single" w:sz="6" w:space="0" w:color="DDDDDD"/>
              <w:right w:val="single" w:sz="6" w:space="0" w:color="DDDDDD"/>
            </w:tcBorders>
          </w:tcPr>
          <w:p w14:paraId="7DF5C05F" w14:textId="20716B94" w:rsidR="00F75C6B" w:rsidRDefault="006122B8">
            <w:pPr>
              <w:spacing w:after="0" w:line="259" w:lineRule="auto"/>
              <w:ind w:left="2" w:firstLine="0"/>
            </w:pPr>
            <w:r>
              <w:rPr>
                <w:color w:val="333333"/>
              </w:rPr>
              <w:t xml:space="preserve">Ne pas avoir droit à une rente de partenaire enregistré survivant </w:t>
            </w:r>
          </w:p>
        </w:tc>
        <w:tc>
          <w:tcPr>
            <w:tcW w:w="2342" w:type="dxa"/>
            <w:tcBorders>
              <w:top w:val="single" w:sz="6" w:space="0" w:color="DDDDDD"/>
              <w:left w:val="single" w:sz="6" w:space="0" w:color="DDDDDD"/>
              <w:bottom w:val="single" w:sz="6" w:space="0" w:color="DDDDDD"/>
              <w:right w:val="single" w:sz="6" w:space="0" w:color="DDDDDD"/>
            </w:tcBorders>
            <w:vAlign w:val="center"/>
          </w:tcPr>
          <w:p w14:paraId="57E201F5" w14:textId="77777777" w:rsidR="00F75C6B" w:rsidRDefault="006122B8">
            <w:pPr>
              <w:spacing w:after="0" w:line="259" w:lineRule="auto"/>
              <w:ind w:left="3" w:firstLine="0"/>
            </w:pPr>
            <w:r>
              <w:rPr>
                <w:color w:val="333333"/>
              </w:rPr>
              <w:t xml:space="preserve">Equivalent de trois rentes annuelles versées sous la forme d'une indemnité unique </w:t>
            </w:r>
          </w:p>
        </w:tc>
      </w:tr>
      <w:tr w:rsidR="00F75C6B" w14:paraId="7BA0BA64" w14:textId="77777777">
        <w:trPr>
          <w:trHeight w:val="1757"/>
        </w:trPr>
        <w:tc>
          <w:tcPr>
            <w:tcW w:w="2243" w:type="dxa"/>
            <w:tcBorders>
              <w:top w:val="single" w:sz="6" w:space="0" w:color="DDDDDD"/>
              <w:left w:val="single" w:sz="6" w:space="0" w:color="DDDDDD"/>
              <w:bottom w:val="single" w:sz="6" w:space="0" w:color="DDDDDD"/>
              <w:right w:val="single" w:sz="6" w:space="0" w:color="DDDDDD"/>
            </w:tcBorders>
            <w:vAlign w:val="center"/>
          </w:tcPr>
          <w:p w14:paraId="74A3E7C6" w14:textId="77777777" w:rsidR="00F75C6B" w:rsidRDefault="006122B8">
            <w:pPr>
              <w:spacing w:after="0" w:line="259" w:lineRule="auto"/>
              <w:ind w:left="0" w:firstLine="0"/>
            </w:pPr>
            <w:r>
              <w:rPr>
                <w:color w:val="333333"/>
              </w:rPr>
              <w:t xml:space="preserve">Prestation de survivant pour partenaire non marié ou partenaire non enregistré </w:t>
            </w:r>
          </w:p>
        </w:tc>
        <w:tc>
          <w:tcPr>
            <w:tcW w:w="5753" w:type="dxa"/>
            <w:tcBorders>
              <w:top w:val="single" w:sz="6" w:space="0" w:color="DDDDDD"/>
              <w:left w:val="single" w:sz="6" w:space="0" w:color="DDDDDD"/>
              <w:bottom w:val="single" w:sz="6" w:space="0" w:color="DDDDDD"/>
              <w:right w:val="single" w:sz="6" w:space="0" w:color="DDDDDD"/>
            </w:tcBorders>
          </w:tcPr>
          <w:p w14:paraId="4EFF7B42" w14:textId="77777777" w:rsidR="00F75C6B" w:rsidRDefault="006122B8">
            <w:pPr>
              <w:spacing w:after="166" w:line="240" w:lineRule="auto"/>
              <w:ind w:left="2" w:firstLine="0"/>
            </w:pPr>
            <w:r>
              <w:rPr>
                <w:color w:val="333333"/>
              </w:rPr>
              <w:t xml:space="preserve">Communauté de vie d'au moins 5 ans avant le </w:t>
            </w:r>
            <w:proofErr w:type="gramStart"/>
            <w:r>
              <w:rPr>
                <w:color w:val="333333"/>
              </w:rPr>
              <w:t>décès;</w:t>
            </w:r>
            <w:proofErr w:type="gramEnd"/>
            <w:r>
              <w:rPr>
                <w:color w:val="333333"/>
              </w:rPr>
              <w:t xml:space="preserve"> Ou entretien d'enfant(s) commun(s); </w:t>
            </w:r>
          </w:p>
          <w:p w14:paraId="3A287535" w14:textId="77777777" w:rsidR="00F75C6B" w:rsidRDefault="006122B8">
            <w:pPr>
              <w:spacing w:after="0" w:line="259" w:lineRule="auto"/>
              <w:ind w:left="2" w:firstLine="0"/>
            </w:pPr>
            <w:r>
              <w:rPr>
                <w:color w:val="333333"/>
              </w:rPr>
              <w:t xml:space="preserve">Respect des conditions fixées par le règlement de l'institution de prévoyance. </w:t>
            </w:r>
          </w:p>
        </w:tc>
        <w:tc>
          <w:tcPr>
            <w:tcW w:w="2342" w:type="dxa"/>
            <w:tcBorders>
              <w:top w:val="single" w:sz="6" w:space="0" w:color="DDDDDD"/>
              <w:left w:val="single" w:sz="6" w:space="0" w:color="DDDDDD"/>
              <w:bottom w:val="single" w:sz="6" w:space="0" w:color="DDDDDD"/>
              <w:right w:val="single" w:sz="6" w:space="0" w:color="DDDDDD"/>
            </w:tcBorders>
          </w:tcPr>
          <w:p w14:paraId="3D25511D" w14:textId="77777777" w:rsidR="00F75C6B" w:rsidRDefault="006122B8">
            <w:pPr>
              <w:spacing w:after="0" w:line="240" w:lineRule="auto"/>
              <w:ind w:left="3" w:firstLine="0"/>
            </w:pPr>
            <w:r>
              <w:rPr>
                <w:color w:val="333333"/>
              </w:rPr>
              <w:t xml:space="preserve">Montant </w:t>
            </w:r>
            <w:r>
              <w:rPr>
                <w:color w:val="333333"/>
              </w:rPr>
              <w:t xml:space="preserve">fixé par le règlement de </w:t>
            </w:r>
          </w:p>
          <w:p w14:paraId="5BA59DB9" w14:textId="77777777" w:rsidR="00F75C6B" w:rsidRDefault="006122B8">
            <w:pPr>
              <w:spacing w:after="0" w:line="259" w:lineRule="auto"/>
              <w:ind w:left="3" w:firstLine="0"/>
            </w:pPr>
            <w:proofErr w:type="gramStart"/>
            <w:r>
              <w:rPr>
                <w:color w:val="333333"/>
              </w:rPr>
              <w:t>l'institution</w:t>
            </w:r>
            <w:proofErr w:type="gramEnd"/>
            <w:r>
              <w:rPr>
                <w:color w:val="333333"/>
              </w:rPr>
              <w:t xml:space="preserve"> de prévoyance. </w:t>
            </w:r>
          </w:p>
        </w:tc>
      </w:tr>
      <w:tr w:rsidR="00F75C6B" w14:paraId="3F77AAD4" w14:textId="77777777">
        <w:trPr>
          <w:trHeight w:val="1719"/>
        </w:trPr>
        <w:tc>
          <w:tcPr>
            <w:tcW w:w="2243" w:type="dxa"/>
            <w:tcBorders>
              <w:top w:val="single" w:sz="6" w:space="0" w:color="DDDDDD"/>
              <w:left w:val="single" w:sz="6" w:space="0" w:color="DDDDDD"/>
              <w:bottom w:val="single" w:sz="6" w:space="0" w:color="DDDDDD"/>
              <w:right w:val="single" w:sz="6" w:space="0" w:color="DDDDDD"/>
            </w:tcBorders>
          </w:tcPr>
          <w:p w14:paraId="601B75A7" w14:textId="77777777" w:rsidR="00F75C6B" w:rsidRDefault="006122B8">
            <w:pPr>
              <w:spacing w:after="0" w:line="259" w:lineRule="auto"/>
              <w:ind w:left="0" w:firstLine="0"/>
            </w:pPr>
            <w:r>
              <w:rPr>
                <w:color w:val="333333"/>
              </w:rPr>
              <w:t xml:space="preserve">Rente d'orphelin </w:t>
            </w:r>
          </w:p>
        </w:tc>
        <w:tc>
          <w:tcPr>
            <w:tcW w:w="5753" w:type="dxa"/>
            <w:tcBorders>
              <w:top w:val="single" w:sz="6" w:space="0" w:color="DDDDDD"/>
              <w:left w:val="single" w:sz="6" w:space="0" w:color="DDDDDD"/>
              <w:bottom w:val="single" w:sz="6" w:space="0" w:color="DDDDDD"/>
              <w:right w:val="single" w:sz="6" w:space="0" w:color="DDDDDD"/>
            </w:tcBorders>
            <w:vAlign w:val="center"/>
          </w:tcPr>
          <w:p w14:paraId="187D7418" w14:textId="77777777" w:rsidR="00F75C6B" w:rsidRDefault="006122B8">
            <w:pPr>
              <w:spacing w:after="0" w:line="259" w:lineRule="auto"/>
              <w:ind w:left="2" w:firstLine="0"/>
            </w:pPr>
            <w:proofErr w:type="spellStart"/>
            <w:r>
              <w:rPr>
                <w:color w:val="333333"/>
              </w:rPr>
              <w:t>Etre</w:t>
            </w:r>
            <w:proofErr w:type="spellEnd"/>
            <w:r>
              <w:rPr>
                <w:color w:val="333333"/>
              </w:rPr>
              <w:t xml:space="preserve"> au bénéfice d'une rente de vieillesse, avoir un (des) enfant(s) de moins de 18 ans, encore en formation ou invalide(s) à raison de 70 % au moins. La rente est versée au maximum jusqu'à l'âge de 25 ans révolus en cas d'études ou d'apprentissage. </w:t>
            </w:r>
          </w:p>
        </w:tc>
        <w:tc>
          <w:tcPr>
            <w:tcW w:w="2342" w:type="dxa"/>
            <w:tcBorders>
              <w:top w:val="single" w:sz="6" w:space="0" w:color="DDDDDD"/>
              <w:left w:val="single" w:sz="6" w:space="0" w:color="DDDDDD"/>
              <w:bottom w:val="single" w:sz="6" w:space="0" w:color="DDDDDD"/>
              <w:right w:val="single" w:sz="6" w:space="0" w:color="DDDDDD"/>
            </w:tcBorders>
          </w:tcPr>
          <w:p w14:paraId="1FDB69D4" w14:textId="77777777" w:rsidR="00F75C6B" w:rsidRDefault="006122B8">
            <w:pPr>
              <w:spacing w:after="0" w:line="259" w:lineRule="auto"/>
              <w:ind w:left="3" w:firstLine="0"/>
            </w:pPr>
            <w:r>
              <w:rPr>
                <w:color w:val="333333"/>
              </w:rPr>
              <w:t xml:space="preserve">20 % </w:t>
            </w:r>
            <w:r>
              <w:rPr>
                <w:color w:val="333333"/>
              </w:rPr>
              <w:t xml:space="preserve">de la rente d'invalidité ou de vieillesse entière </w:t>
            </w:r>
          </w:p>
        </w:tc>
      </w:tr>
      <w:tr w:rsidR="00F75C6B" w14:paraId="45C639E4" w14:textId="77777777">
        <w:trPr>
          <w:trHeight w:val="842"/>
        </w:trPr>
        <w:tc>
          <w:tcPr>
            <w:tcW w:w="2243" w:type="dxa"/>
            <w:tcBorders>
              <w:top w:val="single" w:sz="6" w:space="0" w:color="DDDDDD"/>
              <w:left w:val="single" w:sz="6" w:space="0" w:color="DDDDDD"/>
              <w:bottom w:val="single" w:sz="6" w:space="0" w:color="DDDDDD"/>
              <w:right w:val="single" w:sz="6" w:space="0" w:color="DDDDDD"/>
            </w:tcBorders>
            <w:vAlign w:val="center"/>
          </w:tcPr>
          <w:p w14:paraId="6CE1656C" w14:textId="77777777" w:rsidR="00F75C6B" w:rsidRDefault="006122B8">
            <w:pPr>
              <w:spacing w:after="0" w:line="259" w:lineRule="auto"/>
              <w:ind w:left="0" w:firstLine="0"/>
            </w:pPr>
            <w:r>
              <w:rPr>
                <w:color w:val="333333"/>
              </w:rPr>
              <w:t xml:space="preserve">Cas particulier : </w:t>
            </w:r>
          </w:p>
          <w:p w14:paraId="1DFCDB58" w14:textId="77777777" w:rsidR="00F75C6B" w:rsidRDefault="006122B8">
            <w:pPr>
              <w:spacing w:after="0" w:line="259" w:lineRule="auto"/>
              <w:ind w:left="0" w:firstLine="0"/>
            </w:pPr>
            <w:r>
              <w:rPr>
                <w:color w:val="333333"/>
              </w:rPr>
              <w:t xml:space="preserve">Prestation en capital </w:t>
            </w:r>
          </w:p>
        </w:tc>
        <w:tc>
          <w:tcPr>
            <w:tcW w:w="5753" w:type="dxa"/>
            <w:tcBorders>
              <w:top w:val="single" w:sz="6" w:space="0" w:color="DDDDDD"/>
              <w:left w:val="single" w:sz="6" w:space="0" w:color="DDDDDD"/>
              <w:bottom w:val="single" w:sz="6" w:space="0" w:color="DDDDDD"/>
              <w:right w:val="single" w:sz="6" w:space="0" w:color="DDDDDD"/>
            </w:tcBorders>
            <w:vAlign w:val="center"/>
          </w:tcPr>
          <w:p w14:paraId="0877833B" w14:textId="77777777" w:rsidR="00F75C6B" w:rsidRDefault="006122B8">
            <w:pPr>
              <w:spacing w:after="0" w:line="259" w:lineRule="auto"/>
              <w:ind w:left="2" w:firstLine="0"/>
            </w:pPr>
            <w:r>
              <w:rPr>
                <w:i/>
                <w:color w:val="333333"/>
              </w:rPr>
              <w:t>Selon les dispositions du</w:t>
            </w:r>
            <w:r>
              <w:rPr>
                <w:color w:val="333333"/>
              </w:rPr>
              <w:t xml:space="preserve"> </w:t>
            </w:r>
            <w:r>
              <w:rPr>
                <w:i/>
                <w:color w:val="333333"/>
              </w:rPr>
              <w:t xml:space="preserve">règlement de l'institution de prévoyance </w:t>
            </w:r>
            <w:r>
              <w:rPr>
                <w:color w:val="333333"/>
              </w:rPr>
              <w:t xml:space="preserve">:  possibilité d'un versement en capital </w:t>
            </w:r>
          </w:p>
        </w:tc>
        <w:tc>
          <w:tcPr>
            <w:tcW w:w="2342" w:type="dxa"/>
            <w:tcBorders>
              <w:top w:val="single" w:sz="6" w:space="0" w:color="DDDDDD"/>
              <w:left w:val="single" w:sz="6" w:space="0" w:color="DDDDDD"/>
              <w:bottom w:val="single" w:sz="6" w:space="0" w:color="DDDDDD"/>
              <w:right w:val="single" w:sz="6" w:space="0" w:color="DDDDDD"/>
            </w:tcBorders>
          </w:tcPr>
          <w:p w14:paraId="6BF2341D" w14:textId="77777777" w:rsidR="00F75C6B" w:rsidRDefault="006122B8">
            <w:pPr>
              <w:spacing w:after="0" w:line="259" w:lineRule="auto"/>
              <w:ind w:left="3" w:firstLine="0"/>
            </w:pPr>
            <w:r>
              <w:rPr>
                <w:color w:val="333333"/>
              </w:rPr>
              <w:t xml:space="preserve">Versement unique </w:t>
            </w:r>
          </w:p>
        </w:tc>
      </w:tr>
    </w:tbl>
    <w:p w14:paraId="60A7B552" w14:textId="1C94628F" w:rsidR="00F75C6B" w:rsidRDefault="006122B8">
      <w:pPr>
        <w:pStyle w:val="Titre1"/>
        <w:spacing w:after="304"/>
        <w:ind w:left="-5"/>
      </w:pPr>
      <w:r>
        <w:t xml:space="preserve">Surindemnisation </w:t>
      </w:r>
    </w:p>
    <w:p w14:paraId="1CE3EE4C" w14:textId="77777777" w:rsidR="00F75C6B" w:rsidRDefault="006122B8">
      <w:pPr>
        <w:spacing w:after="121" w:line="259" w:lineRule="auto"/>
        <w:ind w:left="0" w:firstLine="0"/>
      </w:pPr>
      <w:r>
        <w:rPr>
          <w:color w:val="000000"/>
          <w:sz w:val="26"/>
        </w:rPr>
        <w:t xml:space="preserve"> </w:t>
      </w:r>
    </w:p>
    <w:p w14:paraId="6F399579" w14:textId="77777777" w:rsidR="00F75C6B" w:rsidRDefault="006122B8">
      <w:pPr>
        <w:ind w:left="-5"/>
      </w:pPr>
      <w:r>
        <w:t>Lorsqu'un cas d'assurance met en concours des prestations de l'assurance-accidents (LAA), de l'</w:t>
      </w:r>
      <w:proofErr w:type="spellStart"/>
      <w:r>
        <w:t>assurancemilitaire</w:t>
      </w:r>
      <w:proofErr w:type="spellEnd"/>
      <w:r>
        <w:t xml:space="preserve"> (LAM) et de la LPP, celles de l'assurance-accidents et de l'assurance-militaire sont toujours dues en priorité. Les prestations d'invalidité e</w:t>
      </w:r>
      <w:r>
        <w:t>t de survivants selon la LPP ne sont versées que si, une fois ajoutées à celles des autres assurances, l'ensemble des prestations ne dépasse pas 90 % du revenu dont on peut présumer que l'assuré est privé. Lorsque cette limite est dépassée, les prestations</w:t>
      </w:r>
      <w:r>
        <w:t xml:space="preserve"> d'invalidité et de survivants de la LPP sont réduites en conséquence. Cette disposition vise à prévenir les cas de surindemnisation : l'obligation incombant aux différentes assurances ne saurait se traduire par une amélioration de la situation financière </w:t>
      </w:r>
      <w:r>
        <w:t xml:space="preserve">de l'assuré. </w:t>
      </w:r>
    </w:p>
    <w:p w14:paraId="0F28482F" w14:textId="77777777" w:rsidR="00F75C6B" w:rsidRDefault="006122B8">
      <w:pPr>
        <w:spacing w:after="303" w:line="259" w:lineRule="auto"/>
        <w:ind w:left="0" w:firstLine="0"/>
      </w:pPr>
      <w:r>
        <w:t xml:space="preserve"> </w:t>
      </w:r>
    </w:p>
    <w:p w14:paraId="1765E50E" w14:textId="77777777" w:rsidR="00F75C6B" w:rsidRDefault="006122B8">
      <w:pPr>
        <w:spacing w:after="303" w:line="259" w:lineRule="auto"/>
        <w:ind w:left="0" w:firstLine="0"/>
      </w:pPr>
      <w:r>
        <w:t xml:space="preserve"> </w:t>
      </w:r>
    </w:p>
    <w:p w14:paraId="3B11037B" w14:textId="77777777" w:rsidR="00F75C6B" w:rsidRDefault="006122B8">
      <w:pPr>
        <w:spacing w:after="0" w:line="259" w:lineRule="auto"/>
        <w:ind w:left="0" w:firstLine="0"/>
      </w:pPr>
      <w:r>
        <w:t xml:space="preserve"> </w:t>
      </w:r>
    </w:p>
    <w:p w14:paraId="16BF64C5" w14:textId="77777777" w:rsidR="00F75C6B" w:rsidRDefault="006122B8">
      <w:pPr>
        <w:pStyle w:val="Titre1"/>
        <w:spacing w:after="307"/>
        <w:ind w:left="-5"/>
      </w:pPr>
      <w:r>
        <w:t xml:space="preserve">Maintien de la prévoyance </w:t>
      </w:r>
    </w:p>
    <w:p w14:paraId="4789A04C" w14:textId="77777777" w:rsidR="00F75C6B" w:rsidRDefault="006122B8">
      <w:pPr>
        <w:spacing w:after="119" w:line="259" w:lineRule="auto"/>
        <w:ind w:left="0" w:firstLine="0"/>
      </w:pPr>
      <w:r>
        <w:rPr>
          <w:color w:val="000000"/>
          <w:sz w:val="26"/>
        </w:rPr>
        <w:t xml:space="preserve"> </w:t>
      </w:r>
    </w:p>
    <w:p w14:paraId="05D76F6F" w14:textId="06777201" w:rsidR="00F75C6B" w:rsidRDefault="006122B8">
      <w:pPr>
        <w:ind w:left="-5"/>
      </w:pPr>
      <w:r>
        <w:t>L'assuré qui quitte l'institution de prévoyance pour une raison autre qu'un cas d'assurance (vieillesse, décès ou invalidité) a droit à une prestation de sortie</w:t>
      </w:r>
      <w:r>
        <w:rPr>
          <w:color w:val="3BC9AE"/>
        </w:rPr>
        <w:t>. On parle alors de libre passage</w:t>
      </w:r>
      <w:r>
        <w:t>. Il y a libre</w:t>
      </w:r>
      <w:r>
        <w:t xml:space="preserve"> passage lorsqu'un assuré change d'employeur, que cet assuré occupe un nouvel emploi ou non après être sorti de l'institution de prévoyance. En cas de changement d'employeur, l'institution de prévoyance verse la prestation de sortie de l'assuré à l'institu</w:t>
      </w:r>
      <w:r>
        <w:t xml:space="preserve">tion de prévoyance du nouvel employeur. Si l'assuré ne reprend pas d'emploi, il est tenu d'indiquer à l'institution de prévoyance à quelle autre institution elle doit verser </w:t>
      </w:r>
      <w:r>
        <w:lastRenderedPageBreak/>
        <w:t>la prestation de sortie. L'assuré a le choix entre un compte de libre passage à so</w:t>
      </w:r>
      <w:r>
        <w:t xml:space="preserve">n nom auprès d'une fondation bancaire ou une police de libre passage en sa faveur auprès d'une société d'assurance. La prévoyance de l'assuré est maintenue, son capital ne pouvant lui être versé que s'il remplit des conditions bien précises. </w:t>
      </w:r>
    </w:p>
    <w:p w14:paraId="34DAB769" w14:textId="77777777" w:rsidR="00F75C6B" w:rsidRDefault="006122B8">
      <w:pPr>
        <w:ind w:left="-5"/>
      </w:pPr>
      <w:r>
        <w:t>Si l'assuré n</w:t>
      </w:r>
      <w:r>
        <w:t xml:space="preserve">e communique pas ses intentions à l'institution de prévoyance, celle-ci est tenue de transférer la prestation de sortie </w:t>
      </w:r>
      <w:r>
        <w:rPr>
          <w:u w:val="single" w:color="454545"/>
        </w:rPr>
        <w:t>à l'institution supplétive</w:t>
      </w:r>
      <w:r>
        <w:t xml:space="preserve"> au plus tard deux ans après le cas de libre passage. </w:t>
      </w:r>
    </w:p>
    <w:p w14:paraId="45BB18ED" w14:textId="77777777" w:rsidR="00F75C6B" w:rsidRDefault="006122B8">
      <w:pPr>
        <w:ind w:left="-5"/>
      </w:pPr>
      <w:r>
        <w:t>Les assurés qui entreprennent des recherches auprès d'institutions de prévoyance en vue de retrouver des avoirs oubliés peuvent s'adresser à la Centrale du 2</w:t>
      </w:r>
      <w:r>
        <w:rPr>
          <w:vertAlign w:val="superscript"/>
        </w:rPr>
        <w:t>e</w:t>
      </w:r>
      <w:r>
        <w:t xml:space="preserve"> pilier. Cette Centrale leur indiquera quelles institutions détiennent éventuellement des avoirs d</w:t>
      </w:r>
      <w:r>
        <w:t>e prévoyance ou des comptes ou polices de libre passage les concernant. Les institutions de prévoyance ainsi que celles de libre passage ont l'obligation d'annoncer tous les ans à la Centrale du 2</w:t>
      </w:r>
      <w:r>
        <w:rPr>
          <w:vertAlign w:val="superscript"/>
        </w:rPr>
        <w:t>e</w:t>
      </w:r>
      <w:r>
        <w:t xml:space="preserve"> pilier l'existence de capitaux de prévoyance non réclamés </w:t>
      </w:r>
      <w:r>
        <w:t xml:space="preserve">par leurs </w:t>
      </w:r>
      <w:proofErr w:type="spellStart"/>
      <w:r>
        <w:t>ayant</w:t>
      </w:r>
      <w:proofErr w:type="spellEnd"/>
      <w:r>
        <w:t xml:space="preserve"> droit. </w:t>
      </w:r>
    </w:p>
    <w:p w14:paraId="35B81783" w14:textId="77777777" w:rsidR="00F75C6B" w:rsidRDefault="006122B8">
      <w:pPr>
        <w:spacing w:after="0"/>
        <w:ind w:left="-5"/>
      </w:pPr>
      <w:r>
        <w:t>Un assuré au chômage reste obligatoirement assuré dans le cadre de la prévoyance professionnelle pour les risques de décès et d'invalidité, dans la mesure où la caisse de chômage lui verse des indemnités journalières ou des allocati</w:t>
      </w:r>
      <w:r>
        <w:t>ons après un délai de carence fixé en général à 5 jours et que son revenu quotidien est supérieur à 81.20 francs jusqu'en 2022 et 84.70 francs dès 2023. Les primes dues au titre de la prévoyance sont assumées pour moitié par la personne au chômage, pour mo</w:t>
      </w:r>
      <w:r>
        <w:t>itié par la caisse de chômage. La gestion de cette assurance incombe à l'institution supplétive. L'assuré qui, du fait qu'il n'a pas retrouvé de travail, s'est assuré à titre facultatif selon le règlement de l'institution de prévoyance d'origine, peut dema</w:t>
      </w:r>
      <w:r>
        <w:t xml:space="preserve">nder à être libéré de cette prévoyance. </w:t>
      </w:r>
    </w:p>
    <w:p w14:paraId="726AC724" w14:textId="326B6FC5" w:rsidR="00F75C6B" w:rsidRDefault="00F75C6B">
      <w:pPr>
        <w:spacing w:after="0" w:line="259" w:lineRule="auto"/>
        <w:ind w:left="-218" w:firstLine="0"/>
      </w:pPr>
    </w:p>
    <w:sectPr w:rsidR="00F75C6B">
      <w:footerReference w:type="even" r:id="rId16"/>
      <w:footerReference w:type="default" r:id="rId17"/>
      <w:footerReference w:type="first" r:id="rId18"/>
      <w:pgSz w:w="11906" w:h="17338"/>
      <w:pgMar w:top="852" w:right="640" w:bottom="714" w:left="926"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5FB58" w14:textId="77777777" w:rsidR="006122B8" w:rsidRDefault="006122B8">
      <w:pPr>
        <w:spacing w:after="0" w:line="240" w:lineRule="auto"/>
      </w:pPr>
      <w:r>
        <w:separator/>
      </w:r>
    </w:p>
  </w:endnote>
  <w:endnote w:type="continuationSeparator" w:id="0">
    <w:p w14:paraId="5ED14075" w14:textId="77777777" w:rsidR="006122B8" w:rsidRDefault="00612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D85A9" w14:textId="77777777" w:rsidR="00F75C6B" w:rsidRDefault="006122B8">
    <w:pPr>
      <w:spacing w:after="0" w:line="259" w:lineRule="auto"/>
      <w:ind w:left="4" w:firstLine="0"/>
      <w:jc w:val="center"/>
    </w:pPr>
    <w:r>
      <w:fldChar w:fldCharType="begin"/>
    </w:r>
    <w:r>
      <w:instrText xml:space="preserve"> PAGE   \* MERGEFORMAT </w:instrText>
    </w:r>
    <w:r>
      <w:fldChar w:fldCharType="separate"/>
    </w:r>
    <w:r>
      <w:rPr>
        <w:color w:val="000000"/>
        <w:sz w:val="22"/>
      </w:rPr>
      <w:t>1</w:t>
    </w:r>
    <w:r>
      <w:rPr>
        <w:color w:val="000000"/>
        <w:sz w:val="22"/>
      </w:rPr>
      <w:fldChar w:fldCharType="end"/>
    </w:r>
    <w:r>
      <w:rPr>
        <w:color w:val="000000"/>
        <w:sz w:val="22"/>
      </w:rPr>
      <w:t xml:space="preserve"> </w:t>
    </w:r>
  </w:p>
  <w:p w14:paraId="55CD70D2" w14:textId="77777777" w:rsidR="00F75C6B" w:rsidRDefault="006122B8">
    <w:pPr>
      <w:spacing w:after="0" w:line="259" w:lineRule="auto"/>
      <w:ind w:left="0" w:firstLine="0"/>
    </w:pPr>
    <w:r>
      <w:rPr>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6EB8E" w14:textId="77777777" w:rsidR="00F75C6B" w:rsidRDefault="006122B8">
    <w:pPr>
      <w:spacing w:after="0" w:line="259" w:lineRule="auto"/>
      <w:ind w:left="4" w:firstLine="0"/>
      <w:jc w:val="center"/>
    </w:pPr>
    <w:r>
      <w:fldChar w:fldCharType="begin"/>
    </w:r>
    <w:r>
      <w:instrText xml:space="preserve"> PAGE   \* MERGEFORMAT </w:instrText>
    </w:r>
    <w:r>
      <w:fldChar w:fldCharType="separate"/>
    </w:r>
    <w:r>
      <w:rPr>
        <w:color w:val="000000"/>
        <w:sz w:val="22"/>
      </w:rPr>
      <w:t>1</w:t>
    </w:r>
    <w:r>
      <w:rPr>
        <w:color w:val="000000"/>
        <w:sz w:val="22"/>
      </w:rPr>
      <w:fldChar w:fldCharType="end"/>
    </w:r>
    <w:r>
      <w:rPr>
        <w:color w:val="000000"/>
        <w:sz w:val="22"/>
      </w:rPr>
      <w:t xml:space="preserve"> </w:t>
    </w:r>
  </w:p>
  <w:p w14:paraId="1AE77E7B" w14:textId="77777777" w:rsidR="00F75C6B" w:rsidRDefault="006122B8">
    <w:pPr>
      <w:spacing w:after="0" w:line="259" w:lineRule="auto"/>
      <w:ind w:left="0" w:firstLine="0"/>
    </w:pPr>
    <w:r>
      <w:rPr>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51A4D" w14:textId="77777777" w:rsidR="00F75C6B" w:rsidRDefault="006122B8">
    <w:pPr>
      <w:spacing w:after="0" w:line="259" w:lineRule="auto"/>
      <w:ind w:left="4" w:firstLine="0"/>
      <w:jc w:val="center"/>
    </w:pPr>
    <w:r>
      <w:fldChar w:fldCharType="begin"/>
    </w:r>
    <w:r>
      <w:instrText xml:space="preserve"> PAGE   \* MERGEFORMAT </w:instrText>
    </w:r>
    <w:r>
      <w:fldChar w:fldCharType="separate"/>
    </w:r>
    <w:r>
      <w:rPr>
        <w:color w:val="000000"/>
        <w:sz w:val="22"/>
      </w:rPr>
      <w:t>1</w:t>
    </w:r>
    <w:r>
      <w:rPr>
        <w:color w:val="000000"/>
        <w:sz w:val="22"/>
      </w:rPr>
      <w:fldChar w:fldCharType="end"/>
    </w:r>
    <w:r>
      <w:rPr>
        <w:color w:val="000000"/>
        <w:sz w:val="22"/>
      </w:rPr>
      <w:t xml:space="preserve"> </w:t>
    </w:r>
  </w:p>
  <w:p w14:paraId="591EC075" w14:textId="77777777" w:rsidR="00F75C6B" w:rsidRDefault="006122B8">
    <w:pPr>
      <w:spacing w:after="0" w:line="259" w:lineRule="auto"/>
      <w:ind w:left="0" w:firstLine="0"/>
    </w:pPr>
    <w:r>
      <w:rPr>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A11DB" w14:textId="77777777" w:rsidR="006122B8" w:rsidRDefault="006122B8">
      <w:pPr>
        <w:spacing w:after="0" w:line="240" w:lineRule="auto"/>
      </w:pPr>
      <w:r>
        <w:separator/>
      </w:r>
    </w:p>
  </w:footnote>
  <w:footnote w:type="continuationSeparator" w:id="0">
    <w:p w14:paraId="3027567F" w14:textId="77777777" w:rsidR="006122B8" w:rsidRDefault="00612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D3E34"/>
    <w:multiLevelType w:val="hybridMultilevel"/>
    <w:tmpl w:val="3D0A10BA"/>
    <w:lvl w:ilvl="0" w:tplc="198676FA">
      <w:start w:val="1"/>
      <w:numFmt w:val="bullet"/>
      <w:lvlText w:val="o"/>
      <w:lvlJc w:val="left"/>
      <w:pPr>
        <w:ind w:left="873"/>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C72681C2">
      <w:start w:val="1"/>
      <w:numFmt w:val="bullet"/>
      <w:lvlText w:val="o"/>
      <w:lvlJc w:val="left"/>
      <w:pPr>
        <w:ind w:left="178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73867C50">
      <w:start w:val="1"/>
      <w:numFmt w:val="bullet"/>
      <w:lvlText w:val="▪"/>
      <w:lvlJc w:val="left"/>
      <w:pPr>
        <w:ind w:left="250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6C2071D6">
      <w:start w:val="1"/>
      <w:numFmt w:val="bullet"/>
      <w:lvlText w:val="•"/>
      <w:lvlJc w:val="left"/>
      <w:pPr>
        <w:ind w:left="322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8B805640">
      <w:start w:val="1"/>
      <w:numFmt w:val="bullet"/>
      <w:lvlText w:val="o"/>
      <w:lvlJc w:val="left"/>
      <w:pPr>
        <w:ind w:left="394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5F640176">
      <w:start w:val="1"/>
      <w:numFmt w:val="bullet"/>
      <w:lvlText w:val="▪"/>
      <w:lvlJc w:val="left"/>
      <w:pPr>
        <w:ind w:left="466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54D4BCA6">
      <w:start w:val="1"/>
      <w:numFmt w:val="bullet"/>
      <w:lvlText w:val="•"/>
      <w:lvlJc w:val="left"/>
      <w:pPr>
        <w:ind w:left="538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C6344CDE">
      <w:start w:val="1"/>
      <w:numFmt w:val="bullet"/>
      <w:lvlText w:val="o"/>
      <w:lvlJc w:val="left"/>
      <w:pPr>
        <w:ind w:left="610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2FA072AC">
      <w:start w:val="1"/>
      <w:numFmt w:val="bullet"/>
      <w:lvlText w:val="▪"/>
      <w:lvlJc w:val="left"/>
      <w:pPr>
        <w:ind w:left="682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1" w15:restartNumberingAfterBreak="0">
    <w:nsid w:val="625527B4"/>
    <w:multiLevelType w:val="hybridMultilevel"/>
    <w:tmpl w:val="B90694AA"/>
    <w:lvl w:ilvl="0" w:tplc="BFCA56F0">
      <w:start w:val="1"/>
      <w:numFmt w:val="bullet"/>
      <w:lvlText w:val="•"/>
      <w:lvlJc w:val="left"/>
      <w:pPr>
        <w:ind w:left="708"/>
      </w:pPr>
      <w:rPr>
        <w:rFonts w:ascii="Calibri" w:eastAsia="Calibri" w:hAnsi="Calibri" w:cs="Calibri"/>
        <w:b w:val="0"/>
        <w:i w:val="0"/>
        <w:strike w:val="0"/>
        <w:dstrike w:val="0"/>
        <w:color w:val="6A6A6A"/>
        <w:sz w:val="24"/>
        <w:szCs w:val="24"/>
        <w:u w:val="none" w:color="000000"/>
        <w:bdr w:val="none" w:sz="0" w:space="0" w:color="auto"/>
        <w:shd w:val="clear" w:color="auto" w:fill="auto"/>
        <w:vertAlign w:val="baseline"/>
      </w:rPr>
    </w:lvl>
    <w:lvl w:ilvl="1" w:tplc="8E2C8ED6">
      <w:start w:val="1"/>
      <w:numFmt w:val="bullet"/>
      <w:lvlText w:val="o"/>
      <w:lvlJc w:val="left"/>
      <w:pPr>
        <w:ind w:left="1788"/>
      </w:pPr>
      <w:rPr>
        <w:rFonts w:ascii="Calibri" w:eastAsia="Calibri" w:hAnsi="Calibri" w:cs="Calibri"/>
        <w:b w:val="0"/>
        <w:i w:val="0"/>
        <w:strike w:val="0"/>
        <w:dstrike w:val="0"/>
        <w:color w:val="6A6A6A"/>
        <w:sz w:val="24"/>
        <w:szCs w:val="24"/>
        <w:u w:val="none" w:color="000000"/>
        <w:bdr w:val="none" w:sz="0" w:space="0" w:color="auto"/>
        <w:shd w:val="clear" w:color="auto" w:fill="auto"/>
        <w:vertAlign w:val="baseline"/>
      </w:rPr>
    </w:lvl>
    <w:lvl w:ilvl="2" w:tplc="440846A4">
      <w:start w:val="1"/>
      <w:numFmt w:val="bullet"/>
      <w:lvlText w:val="▪"/>
      <w:lvlJc w:val="left"/>
      <w:pPr>
        <w:ind w:left="2508"/>
      </w:pPr>
      <w:rPr>
        <w:rFonts w:ascii="Calibri" w:eastAsia="Calibri" w:hAnsi="Calibri" w:cs="Calibri"/>
        <w:b w:val="0"/>
        <w:i w:val="0"/>
        <w:strike w:val="0"/>
        <w:dstrike w:val="0"/>
        <w:color w:val="6A6A6A"/>
        <w:sz w:val="24"/>
        <w:szCs w:val="24"/>
        <w:u w:val="none" w:color="000000"/>
        <w:bdr w:val="none" w:sz="0" w:space="0" w:color="auto"/>
        <w:shd w:val="clear" w:color="auto" w:fill="auto"/>
        <w:vertAlign w:val="baseline"/>
      </w:rPr>
    </w:lvl>
    <w:lvl w:ilvl="3" w:tplc="6A1E98BE">
      <w:start w:val="1"/>
      <w:numFmt w:val="bullet"/>
      <w:lvlText w:val="•"/>
      <w:lvlJc w:val="left"/>
      <w:pPr>
        <w:ind w:left="3228"/>
      </w:pPr>
      <w:rPr>
        <w:rFonts w:ascii="Calibri" w:eastAsia="Calibri" w:hAnsi="Calibri" w:cs="Calibri"/>
        <w:b w:val="0"/>
        <w:i w:val="0"/>
        <w:strike w:val="0"/>
        <w:dstrike w:val="0"/>
        <w:color w:val="6A6A6A"/>
        <w:sz w:val="24"/>
        <w:szCs w:val="24"/>
        <w:u w:val="none" w:color="000000"/>
        <w:bdr w:val="none" w:sz="0" w:space="0" w:color="auto"/>
        <w:shd w:val="clear" w:color="auto" w:fill="auto"/>
        <w:vertAlign w:val="baseline"/>
      </w:rPr>
    </w:lvl>
    <w:lvl w:ilvl="4" w:tplc="3E72259A">
      <w:start w:val="1"/>
      <w:numFmt w:val="bullet"/>
      <w:lvlText w:val="o"/>
      <w:lvlJc w:val="left"/>
      <w:pPr>
        <w:ind w:left="3948"/>
      </w:pPr>
      <w:rPr>
        <w:rFonts w:ascii="Calibri" w:eastAsia="Calibri" w:hAnsi="Calibri" w:cs="Calibri"/>
        <w:b w:val="0"/>
        <w:i w:val="0"/>
        <w:strike w:val="0"/>
        <w:dstrike w:val="0"/>
        <w:color w:val="6A6A6A"/>
        <w:sz w:val="24"/>
        <w:szCs w:val="24"/>
        <w:u w:val="none" w:color="000000"/>
        <w:bdr w:val="none" w:sz="0" w:space="0" w:color="auto"/>
        <w:shd w:val="clear" w:color="auto" w:fill="auto"/>
        <w:vertAlign w:val="baseline"/>
      </w:rPr>
    </w:lvl>
    <w:lvl w:ilvl="5" w:tplc="F63C066A">
      <w:start w:val="1"/>
      <w:numFmt w:val="bullet"/>
      <w:lvlText w:val="▪"/>
      <w:lvlJc w:val="left"/>
      <w:pPr>
        <w:ind w:left="4668"/>
      </w:pPr>
      <w:rPr>
        <w:rFonts w:ascii="Calibri" w:eastAsia="Calibri" w:hAnsi="Calibri" w:cs="Calibri"/>
        <w:b w:val="0"/>
        <w:i w:val="0"/>
        <w:strike w:val="0"/>
        <w:dstrike w:val="0"/>
        <w:color w:val="6A6A6A"/>
        <w:sz w:val="24"/>
        <w:szCs w:val="24"/>
        <w:u w:val="none" w:color="000000"/>
        <w:bdr w:val="none" w:sz="0" w:space="0" w:color="auto"/>
        <w:shd w:val="clear" w:color="auto" w:fill="auto"/>
        <w:vertAlign w:val="baseline"/>
      </w:rPr>
    </w:lvl>
    <w:lvl w:ilvl="6" w:tplc="4E602DCE">
      <w:start w:val="1"/>
      <w:numFmt w:val="bullet"/>
      <w:lvlText w:val="•"/>
      <w:lvlJc w:val="left"/>
      <w:pPr>
        <w:ind w:left="5388"/>
      </w:pPr>
      <w:rPr>
        <w:rFonts w:ascii="Calibri" w:eastAsia="Calibri" w:hAnsi="Calibri" w:cs="Calibri"/>
        <w:b w:val="0"/>
        <w:i w:val="0"/>
        <w:strike w:val="0"/>
        <w:dstrike w:val="0"/>
        <w:color w:val="6A6A6A"/>
        <w:sz w:val="24"/>
        <w:szCs w:val="24"/>
        <w:u w:val="none" w:color="000000"/>
        <w:bdr w:val="none" w:sz="0" w:space="0" w:color="auto"/>
        <w:shd w:val="clear" w:color="auto" w:fill="auto"/>
        <w:vertAlign w:val="baseline"/>
      </w:rPr>
    </w:lvl>
    <w:lvl w:ilvl="7" w:tplc="98E877F0">
      <w:start w:val="1"/>
      <w:numFmt w:val="bullet"/>
      <w:lvlText w:val="o"/>
      <w:lvlJc w:val="left"/>
      <w:pPr>
        <w:ind w:left="6108"/>
      </w:pPr>
      <w:rPr>
        <w:rFonts w:ascii="Calibri" w:eastAsia="Calibri" w:hAnsi="Calibri" w:cs="Calibri"/>
        <w:b w:val="0"/>
        <w:i w:val="0"/>
        <w:strike w:val="0"/>
        <w:dstrike w:val="0"/>
        <w:color w:val="6A6A6A"/>
        <w:sz w:val="24"/>
        <w:szCs w:val="24"/>
        <w:u w:val="none" w:color="000000"/>
        <w:bdr w:val="none" w:sz="0" w:space="0" w:color="auto"/>
        <w:shd w:val="clear" w:color="auto" w:fill="auto"/>
        <w:vertAlign w:val="baseline"/>
      </w:rPr>
    </w:lvl>
    <w:lvl w:ilvl="8" w:tplc="D7706C58">
      <w:start w:val="1"/>
      <w:numFmt w:val="bullet"/>
      <w:lvlText w:val="▪"/>
      <w:lvlJc w:val="left"/>
      <w:pPr>
        <w:ind w:left="6828"/>
      </w:pPr>
      <w:rPr>
        <w:rFonts w:ascii="Calibri" w:eastAsia="Calibri" w:hAnsi="Calibri" w:cs="Calibri"/>
        <w:b w:val="0"/>
        <w:i w:val="0"/>
        <w:strike w:val="0"/>
        <w:dstrike w:val="0"/>
        <w:color w:val="6A6A6A"/>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6B"/>
    <w:rsid w:val="006122B8"/>
    <w:rsid w:val="00F00920"/>
    <w:rsid w:val="00F75C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B1F3"/>
  <w15:docId w15:val="{BD04C703-D364-4B2A-BE25-CCE0C20D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6" w:line="250" w:lineRule="auto"/>
      <w:ind w:left="10" w:hanging="10"/>
    </w:pPr>
    <w:rPr>
      <w:rFonts w:ascii="Calibri" w:eastAsia="Calibri" w:hAnsi="Calibri" w:cs="Calibri"/>
      <w:color w:val="454545"/>
      <w:sz w:val="24"/>
    </w:rPr>
  </w:style>
  <w:style w:type="paragraph" w:styleId="Titre1">
    <w:name w:val="heading 1"/>
    <w:next w:val="Normal"/>
    <w:link w:val="Titre1Car"/>
    <w:uiPriority w:val="9"/>
    <w:qFormat/>
    <w:pPr>
      <w:keepNext/>
      <w:keepLines/>
      <w:spacing w:after="121"/>
      <w:ind w:left="10" w:hanging="10"/>
      <w:outlineLvl w:val="0"/>
    </w:pPr>
    <w:rPr>
      <w:rFonts w:ascii="Calibri" w:eastAsia="Calibri" w:hAnsi="Calibri" w:cs="Calibri"/>
      <w:color w:val="000000"/>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fbk-conseils.ch/le-1er-pilier-et-son-introduction-en-suisse/" TargetMode="External"/><Relationship Id="rId13" Type="http://schemas.openxmlformats.org/officeDocument/2006/relationships/hyperlink" Target="https://fbk-conseils.ch/comment-fonctionne-lavs-et-qui-la-paie/"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bk-conseils.ch/comment-fonctionne-lavs-et-qui-la-paie/"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bk-conseils.ch/comment-fonctionne-lavs-et-qui-la-paie/" TargetMode="External"/><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hyperlink" Target="https://fbk-conseils.ch/le-1er-pilier-et-son-introduction-en-suiss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bk-conseils.ch/le-1er-pilier-et-son-introduction-en-suisse/" TargetMode="External"/><Relationship Id="rId14"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2331</Words>
  <Characters>12824</Characters>
  <Application>Microsoft Office Word</Application>
  <DocSecurity>0</DocSecurity>
  <Lines>106</Lines>
  <Paragraphs>30</Paragraphs>
  <ScaleCrop>false</ScaleCrop>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SwissKap</dc:creator>
  <cp:keywords/>
  <cp:lastModifiedBy>Pierrick .</cp:lastModifiedBy>
  <cp:revision>2</cp:revision>
  <dcterms:created xsi:type="dcterms:W3CDTF">2024-09-08T13:33:00Z</dcterms:created>
  <dcterms:modified xsi:type="dcterms:W3CDTF">2024-09-08T13:33:00Z</dcterms:modified>
</cp:coreProperties>
</file>