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17F5D">
      <w:pPr>
        <w:pStyle w:val="6"/>
        <w:spacing w:line="36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Skill数据定义编写规范</w:t>
      </w:r>
      <w:r>
        <w:rPr>
          <w:rFonts w:hint="eastAsia" w:ascii="微软雅黑" w:hAnsi="微软雅黑" w:eastAsia="微软雅黑" w:cs="微软雅黑"/>
          <w:lang w:val="en-US" w:eastAsia="zh-CN"/>
        </w:rPr>
        <w:t>以及Skill审核</w:t>
      </w:r>
      <w:r>
        <w:rPr>
          <w:rFonts w:hint="eastAsia" w:ascii="微软雅黑" w:hAnsi="微软雅黑" w:eastAsia="微软雅黑" w:cs="微软雅黑"/>
        </w:rPr>
        <w:t>调研</w:t>
      </w:r>
    </w:p>
    <w:p w14:paraId="2A5729B3">
      <w:pPr>
        <w:pStyle w:val="2"/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主流厂商Skill/Tool数据规范</w:t>
      </w:r>
    </w:p>
    <w:p w14:paraId="44D072CA">
      <w:pPr>
        <w:pStyle w:val="4"/>
        <w:spacing w:line="240" w:lineRule="auto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头部大厂模型厂商</w:t>
      </w:r>
    </w:p>
    <w:p w14:paraId="50505EFB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OpenAI (Function Calling / Assistants API)</w:t>
      </w:r>
    </w:p>
    <w:p w14:paraId="51F92177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数据结构：采用 JSON Schema 规范。需定义 name、description、parameters 树状结构，要求声明 type（object/string/array 等）及 required 必填项列表。</w:t>
      </w:r>
    </w:p>
    <w:p w14:paraId="6C21582D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规范：强调动作确定性。系统提示词侧重描述能力边界而非执行过程，模型通过 Schema 中 description 字段自主理解工具用途，建议使用祈使句编写。</w:t>
      </w:r>
    </w:p>
    <w:p w14:paraId="4B8EB9E4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底层规范：Assistants API 引入有状态 Thread 机制。工具执行过程中，底层通过 requires_action 状态挂起模型推理，待宿主系统返回 tool_outputs 后恢复上下文，实现多轮交互。</w:t>
      </w:r>
    </w:p>
    <w:p w14:paraId="5F158BA3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Anthropic (Claude Tool Use / Claude Code Skills)</w:t>
      </w:r>
    </w:p>
    <w:p w14:paraId="254696CD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数据结构：采用文件化模块设计。Skill 以结构化目录组织，核心文件为 SKILL.md，封装元数据、参数架构与执行指令。参数输入推荐结合 input_schema 与 XML 标签实现结构化隔离。</w:t>
      </w:r>
    </w:p>
    <w:p w14:paraId="461A63BD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规范：强调思维链与异常处理。要求在 Description 中定义失败场景处理逻辑。调用 Skill 前需输出 &lt;thinking&gt; 标签，解释参数推导逻辑。</w:t>
      </w:r>
    </w:p>
    <w:p w14:paraId="5E817A16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底层规范：支持长上下文（200K+ tokens）下的工具寻址。底层允许返回体中携带业务 Error，由模型自行修正调用策略。</w:t>
      </w:r>
    </w:p>
    <w:p w14:paraId="54AC45C6">
      <w:pPr>
        <w:numPr>
          <w:ilvl w:val="0"/>
          <w:numId w:val="2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Google (Gemini / Vertex AI Extensions)</w:t>
      </w:r>
    </w:p>
    <w:p w14:paraId="51605E0D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数据结构：原生对接 OpenAPI 3.0 规范，对枚举值（enum）和数组结构（items）有严格校验。</w:t>
      </w:r>
    </w:p>
    <w:p w14:paraId="3FA2ECB9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规范：除工具描述外，建议补充工具的适用业务域及参数的数据来源要求。</w:t>
      </w:r>
    </w:p>
    <w:p w14:paraId="4952F4F6">
      <w:pPr>
        <w:numPr>
          <w:ilvl w:val="1"/>
          <w:numId w:val="2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底层规范：Skill 注册在 Extension 层，内置企业级数据隔离、鉴权管理及并发控制。</w:t>
      </w:r>
    </w:p>
    <w:p w14:paraId="2EC9D0E9">
      <w:pPr>
        <w:spacing w:line="240" w:lineRule="auto"/>
        <w:rPr>
          <w:rFonts w:hint="eastAsia" w:ascii="微软雅黑" w:hAnsi="微软雅黑" w:eastAsia="微软雅黑" w:cs="微软雅黑"/>
          <w:sz w:val="20"/>
          <w:szCs w:val="20"/>
        </w:rPr>
      </w:pPr>
    </w:p>
    <w:p w14:paraId="65B6ACDD">
      <w:pPr>
        <w:pStyle w:val="4"/>
        <w:spacing w:line="24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1.2 国内主流大模型及Agent平台</w:t>
      </w:r>
    </w:p>
    <w:p w14:paraId="20AEFCC4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腾讯 (Workbuddy / TencentDB Agent)</w:t>
      </w:r>
    </w:p>
    <w:p w14:paraId="3353C1B7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数据结构：底层采用图结构设计，构建时间维度的任务图（Task Graph）与空间维度的代码图（Code Graph），实现复杂上下文中的结构与内容分离。</w:t>
      </w:r>
    </w:p>
    <w:p w14:paraId="3AF3E91B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规范：引入提示词动态优化与上下文压缩机制。Prompt 根据当前任务图节点执行进度动态裁剪，减少无关信息干扰。</w:t>
      </w:r>
    </w:p>
    <w:p w14:paraId="537A4083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底层规范：Agent 架构依赖工具访问控制与结构化记忆（Structured Memory）。引入子智能体委托（Sub-agent delegation）机制，复杂 Skill 可唤醒专用微型 Agent 执行子任务。</w:t>
      </w:r>
    </w:p>
    <w:p w14:paraId="41B922F9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DeepSeek</w:t>
      </w:r>
    </w:p>
    <w:p w14:paraId="3CFA5D27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数据结构：兼容 MCP（Model Context Protocol）协议与 JSON Schema，与开源生态对接成本低。</w:t>
      </w:r>
    </w:p>
    <w:p w14:paraId="1FD743AE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规范：采用规范注入（Specification Injection）机制。支持在 Skill 中硬编码领域专长指令（如金融风险提示话术、企业公文格式规范），该注入具有最高优先级，确保输出符合业务边界。</w:t>
      </w:r>
    </w:p>
    <w:p w14:paraId="20C3ED05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底层规范：侧重代码与推理（R1 系列）的逻辑对齐，底层对输出合规性有强制约束。</w:t>
      </w:r>
    </w:p>
    <w:p w14:paraId="7B118DBE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字节跳动 (Coze / 扣子)</w:t>
      </w:r>
    </w:p>
    <w:p w14:paraId="6BFC446E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数据结构：将 HTTP 接口转化为可视化 I/O 映射模板（底层映射为 OpenAPI Schema）。Workflow 中数据结构被抽象为图计算节点（Node）及连线参数。</w:t>
      </w:r>
    </w:p>
    <w:p w14:paraId="2820A651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规范：通过 GUI 表单自动生成 System Prompt，降低编写门槛。</w:t>
      </w:r>
    </w:p>
    <w:p w14:paraId="0980E3FB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底层规范：依托 Serverless 沙盒容器。Python/Node.js 脚本形式的 Skill 注册后自动解析依赖并提供运行时隔离。</w:t>
      </w:r>
    </w:p>
    <w:p w14:paraId="48D4A755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阿里 (钉钉 AI 助理 / 阿里云百炼)</w:t>
      </w:r>
    </w:p>
    <w:p w14:paraId="53569EE2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数据结构：与企业钉钉组织 Open API 深度融合，参数结构中包含鉴权 Token 和组织架构 ID。</w:t>
      </w:r>
    </w:p>
    <w:p w14:paraId="2C858009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规范：角色与权限感知。Prompt 中注入当前调用者的岗位角色，影响参数提取和生成语气。</w:t>
      </w:r>
    </w:p>
    <w:p w14:paraId="1EB84777">
      <w:pPr>
        <w:numPr>
          <w:ilvl w:val="1"/>
          <w:numId w:val="3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底层规范：底层具备组织架构权限隔离校验，打通 RPA 引擎，实现企业内网数据穿透。</w:t>
      </w:r>
    </w:p>
    <w:p w14:paraId="35D2FC8B">
      <w:pPr>
        <w:spacing w:line="240" w:lineRule="auto"/>
        <w:ind w:left="0"/>
        <w:rPr>
          <w:rFonts w:hint="eastAsia" w:ascii="微软雅黑" w:hAnsi="微软雅黑" w:eastAsia="微软雅黑" w:cs="微软雅黑"/>
        </w:rPr>
      </w:pPr>
    </w:p>
    <w:p w14:paraId="49000D9A">
      <w:pPr>
        <w:pStyle w:val="4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开源生态框架</w:t>
      </w:r>
    </w:p>
    <w:p w14:paraId="135422DA">
      <w:pPr>
        <w:numPr>
          <w:ilvl w:val="0"/>
          <w:numId w:val="4"/>
        </w:numPr>
        <w:pBdr>
          <w:bottom w:val="none" w:color="auto" w:sz="0" w:space="0"/>
        </w:pBd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OpenClaw</w:t>
      </w:r>
    </w:p>
    <w:p w14:paraId="31AF92D6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数据结构：采用文件系统目录结构组织 Skill（SKILL.md 与 references 目录）。</w:t>
      </w:r>
    </w:p>
    <w:p w14:paraId="3C288E5C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规范：支持渐进式披露（Progressive Disclosure）。参数众多的 Skill 在 Prompt 中仅展示核心入口，模型决定调用后再展开完整参数，节省上下文 Token。</w:t>
      </w:r>
    </w:p>
    <w:p w14:paraId="1B56CD1D">
      <w:pPr>
        <w:numPr>
          <w:ilvl w:val="1"/>
          <w:numId w:val="4"/>
        </w:numP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底层规范：支持快照机制（Snapshot）、上下文引用与结构化命令传递，应对网络中断或页面刷新导致的执行失败，增强网页自动化等场景的系统稳定性。</w:t>
      </w:r>
    </w:p>
    <w:p w14:paraId="2057A37F">
      <w:pPr>
        <w:numPr>
          <w:ilvl w:val="0"/>
          <w:numId w:val="4"/>
        </w:numPr>
        <w:pBdr>
          <w:bottom w:val="none" w:color="auto" w:sz="0" w:space="0"/>
        </w:pBd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Hermes</w:t>
      </w:r>
    </w:p>
    <w:p w14:paraId="25624B34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数据结构：作为 Function Calling 专用模型，严格遵循 OpenAI 兼容的 JSON Schema，底层通信嵌入 &lt;tool_call&gt; 和 &lt;tool_response&gt; 特殊 Token 实现闭环。</w:t>
      </w:r>
    </w:p>
    <w:p w14:paraId="0AE99E95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Prompt 规范：依赖 System Prompt Steering（系统指令引导），需在系统提示词中精确说明如何将内部逻辑转化为 XML 或 JSON 格式输出。</w:t>
      </w:r>
    </w:p>
    <w:p w14:paraId="3E095A53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底层规范：权重层面对工具调用进行了专门微调（Fine-tuning），无需外围解析脚本即可自主抑制幻觉，适合作为本地私有化 Skill 质检基座。</w:t>
      </w:r>
    </w:p>
    <w:p w14:paraId="08A17506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760013B2">
      <w:pPr>
        <w:pStyle w:val="4"/>
        <w:spacing w:line="240" w:lineRule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1.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核心设计原则提炼</w:t>
      </w:r>
    </w:p>
    <w:p w14:paraId="77A88DEE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原则一：语义确定性原则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 xml:space="preserve"> </w:t>
      </w:r>
    </w:p>
    <w:p w14:paraId="039C0803">
      <w:pPr>
        <w:widowControl w:val="0"/>
        <w:numPr>
          <w:ilvl w:val="0"/>
          <w:numId w:val="5"/>
        </w:numPr>
        <w:pBdr>
          <w:bottom w:val="none" w:color="auto" w:sz="0" w:space="0"/>
        </w:pBdr>
        <w:snapToGrid w:val="0"/>
        <w:spacing w:before="60" w:after="60" w:line="24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规范提炼：Skill 的命名（Name）必须是全局唯一且机器友好的英文动宾短语（如 query_user_info、generate_report）。其描述（Description）必须采用动作导向的祈使句，直接说明“此技能用于解决什么问题”，杜绝任何类似“这是一个可以帮你查询数据的优秀工具”的废话修饰。</w:t>
      </w:r>
    </w:p>
    <w:p w14:paraId="2B89BC6F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sz w:val="20"/>
          <w:szCs w:val="20"/>
        </w:rPr>
      </w:pPr>
    </w:p>
    <w:p w14:paraId="73BE3795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原则二：防御性边界原则</w:t>
      </w:r>
    </w:p>
    <w:p w14:paraId="197BE19C">
      <w:pPr>
        <w:widowControl w:val="0"/>
        <w:numPr>
          <w:ilvl w:val="0"/>
          <w:numId w:val="5"/>
        </w:numPr>
        <w:pBdr>
          <w:bottom w:val="none" w:color="auto" w:sz="0" w:space="0"/>
        </w:pBdr>
        <w:snapToGrid w:val="0"/>
        <w:spacing w:before="60" w:after="60" w:line="24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规范提炼：在编写 Skill 的描述时，必须强制包含“使用禁区（Negative Prompt）”与“异常预期”。</w:t>
      </w:r>
    </w:p>
    <w:p w14:paraId="595E6F6A">
      <w:pPr>
        <w:widowControl w:val="0"/>
        <w:numPr>
          <w:ilvl w:val="0"/>
          <w:numId w:val="5"/>
        </w:numPr>
        <w:pBdr>
          <w:bottom w:val="none" w:color="auto" w:sz="0" w:space="0"/>
        </w:pBdr>
        <w:snapToGrid w:val="0"/>
        <w:spacing w:before="60" w:after="60" w:line="24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示例：“仅支持查询 2023 年以后的数据；如果查不到相关员工，请直接返回‘查无此人’，严禁尝试猜测同音字。”这种防御性声明能最大程度阻断多模型交叉验证时的“幻觉对冲”。</w:t>
      </w:r>
    </w:p>
    <w:p w14:paraId="31EAA42D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sz w:val="20"/>
          <w:szCs w:val="20"/>
        </w:rPr>
      </w:pPr>
    </w:p>
    <w:p w14:paraId="44F96712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原则三：强结构化契约原则</w:t>
      </w:r>
    </w:p>
    <w:p w14:paraId="19428871">
      <w:pPr>
        <w:widowControl w:val="0"/>
        <w:numPr>
          <w:ilvl w:val="0"/>
          <w:numId w:val="5"/>
        </w:numPr>
        <w:pBdr>
          <w:bottom w:val="none" w:color="auto" w:sz="0" w:space="0"/>
        </w:pBdr>
        <w:snapToGrid w:val="0"/>
        <w:spacing w:before="60" w:after="60" w:line="24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规范提炼：统一采用 JSON Schema 作为所有输入（Parameters）和预期输出（Returns）的唯一表达载体。</w:t>
      </w:r>
    </w:p>
    <w:p w14:paraId="5C729AE8">
      <w:pPr>
        <w:widowControl w:val="0"/>
        <w:numPr>
          <w:ilvl w:val="0"/>
          <w:numId w:val="5"/>
        </w:numPr>
        <w:pBdr>
          <w:bottom w:val="none" w:color="auto" w:sz="0" w:space="0"/>
        </w:pBdr>
        <w:snapToGrid w:val="0"/>
        <w:spacing w:before="60" w:after="60" w:line="24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红线要求：必须极其严格地区分“必填项（Required）”与“选填项（Optional）”。对于有固定范围的参数，必须提供 enum（枚举值）限制，绝不给大模型自由发挥的空间。</w:t>
      </w:r>
    </w:p>
    <w:p w14:paraId="307242B4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sz w:val="20"/>
          <w:szCs w:val="20"/>
        </w:rPr>
      </w:pPr>
    </w:p>
    <w:p w14:paraId="6AA1AB68">
      <w:pPr>
        <w:widowControl w:val="0"/>
        <w:numPr>
          <w:ilvl w:val="0"/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原则四：输入输出白盒化原则</w:t>
      </w:r>
    </w:p>
    <w:p w14:paraId="03882AF0">
      <w:pPr>
        <w:widowControl w:val="0"/>
        <w:numPr>
          <w:ilvl w:val="0"/>
          <w:numId w:val="5"/>
        </w:numPr>
        <w:pBdr>
          <w:bottom w:val="none" w:color="auto" w:sz="0" w:space="0"/>
        </w:pBdr>
        <w:snapToGrid w:val="0"/>
        <w:spacing w:before="60" w:after="60" w:line="240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规范提炼：为了让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便于后期对Skill的</w:t>
      </w:r>
      <w:r>
        <w:rPr>
          <w:rFonts w:hint="eastAsia" w:ascii="微软雅黑" w:hAnsi="微软雅黑" w:eastAsia="微软雅黑" w:cs="微软雅黑"/>
          <w:sz w:val="20"/>
          <w:szCs w:val="20"/>
        </w:rPr>
        <w:t>质检，Skill 不仅要定义怎么“入”，还要明确定义怎么“出”。系统必须配置 returns_schema（预期返回格式），使得“指令遵循度”和“有效性”的考核有客观的 JSON 格式比对标准，而不是靠人工去读日志。</w:t>
      </w:r>
    </w:p>
    <w:p w14:paraId="51114138">
      <w:pPr>
        <w:widowControl w:val="0"/>
        <w:numPr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4BE7A7E8">
      <w:pPr>
        <w:pStyle w:val="2"/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主流厂商Skill/Tool</w:t>
      </w:r>
      <w:r>
        <w:rPr>
          <w:rFonts w:hint="eastAsia" w:ascii="微软雅黑" w:hAnsi="微软雅黑" w:eastAsia="微软雅黑" w:cs="微软雅黑"/>
          <w:lang w:val="en-US" w:eastAsia="zh-CN"/>
        </w:rPr>
        <w:t>审核与安全评判规范</w:t>
      </w:r>
    </w:p>
    <w:p w14:paraId="3717DDC3">
      <w:pPr>
        <w:pStyle w:val="4"/>
        <w:spacing w:line="240" w:lineRule="auto"/>
        <w:ind w:left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 xml:space="preserve">.1 </w:t>
      </w:r>
      <w:r>
        <w:rPr>
          <w:rFonts w:hint="eastAsia" w:ascii="微软雅黑" w:hAnsi="微软雅黑" w:eastAsia="微软雅黑" w:cs="微软雅黑"/>
          <w:lang w:val="en-US" w:eastAsia="zh-CN"/>
        </w:rPr>
        <w:t>头部厂商审核规范</w:t>
      </w:r>
    </w:p>
    <w:p w14:paraId="307FB756">
      <w:pPr>
        <w:numPr>
          <w:ilvl w:val="0"/>
          <w:numId w:val="4"/>
        </w:numPr>
        <w:pBdr>
          <w:bottom w:val="none" w:color="auto" w:sz="0" w:space="0"/>
        </w:pBd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OpenAI (GPT Store &amp; Actions：强合规与自动化拦截)</w:t>
      </w:r>
    </w:p>
    <w:p w14:paraId="27334964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自动化前置审计：在发布或共享包含外部动作 (Actions) 的 GPTs 前，系统会自动执行针对隐私策略的校验。任何调用外部 API 的 Action 必须提供真实有效的隐私政策 URL，否则直接被底层阻断。</w:t>
      </w:r>
    </w:p>
    <w:p w14:paraId="73F2C19A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严格的业务边界红线：严禁将工具自动化用于高风险敏感领域的决策（如未经验证的法律建议、医疗诊断、金融信贷等），并从模型层面拦截涉及恶意网络活动、规避系统防护或输出违规内容的请求。</w:t>
      </w:r>
    </w:p>
    <w:p w14:paraId="4C9A54C3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后置申诉与降级机制：对于被自动化审核判定违规或受限的工具，开发者可以提交上下文进行申诉；在申诉期间，系统会在服务端将该工具强制降级为“仅开发者私有可用”，切断外部数据流转。</w:t>
      </w:r>
    </w:p>
    <w:p w14:paraId="6225FB39">
      <w:pPr>
        <w:numPr>
          <w:ilvl w:val="0"/>
          <w:numId w:val="4"/>
        </w:numPr>
        <w:pBdr>
          <w:bottom w:val="none" w:color="auto" w:sz="0" w:space="0"/>
        </w:pBd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Anthropic (Claude &amp; MCP：权限沙盒与语义精准度)</w:t>
      </w:r>
    </w:p>
    <w:p w14:paraId="589B26D1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语义契约与防幻觉审核：要求开发者必须使用极其狭窄、无歧义的自然语言来定义工具。工具的 Description 必须与实际功能完全一致，严禁隐藏指令、过度承诺功能，或诱导模型动态拉取外部未知指令执行。</w:t>
      </w:r>
    </w:p>
    <w:p w14:paraId="133BCFC1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零信任权限架构：系统默认赋予工具严格的只读权限。任何涉及物理环境改变的动作（如文件写入、网络请求、Bash 脚本执行）不仅会在隔离的虚拟机 (VM) 或容器中运行，且必须在执行前触发用户的显式授权动作。</w:t>
      </w:r>
    </w:p>
    <w:p w14:paraId="423E7A89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运行时资源与容错管控：明确规定 MCP 服务端必须优雅地处理异常（向模型返回具体的业务失败原因而非通用报错），在 Token 消耗上必须保持极度克制，并明确禁止工具自主执行金融资产转移等高危操作。</w:t>
      </w:r>
    </w:p>
    <w:p w14:paraId="3DEF955F">
      <w:pPr>
        <w:numPr>
          <w:ilvl w:val="0"/>
          <w:numId w:val="4"/>
        </w:numPr>
        <w:pBdr>
          <w:bottom w:val="none" w:color="auto" w:sz="0" w:space="0"/>
        </w:pBdr>
        <w:spacing w:line="240" w:lineRule="auto"/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Google (Model Context Protocol 体系：企业级全链路监控)</w:t>
      </w:r>
    </w:p>
    <w:p w14:paraId="72676413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输出清洗与防注入机制 (Secure Output Handling)：重点强调大模型与外部工具交互时的输入输出安全。要求在网关层对返回结果进行严格的清洗，防范工具返回的恶意载荷在前端渲染时引发跨站脚本攻击（XSS）或指令注入。</w:t>
      </w:r>
    </w:p>
    <w:p w14:paraId="52F6215E">
      <w:pPr>
        <w:numPr>
          <w:ilvl w:val="1"/>
          <w:numId w:val="4"/>
        </w:numPr>
        <w:pBdr>
          <w:bottom w:val="none" w:color="auto" w:sz="0" w:space="0"/>
        </w:pBdr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细粒度授权与供应链审计：要求宿主应用必须提供清晰的鉴权界面以获取用户同意。同时，必须建立企业级的日志记录与审计系统，全链路追踪工具的调用频率和数据流向，以防范大模型供应链层面的安全风险。</w:t>
      </w:r>
    </w:p>
    <w:p w14:paraId="078EF748">
      <w:pPr>
        <w:widowControl w:val="0"/>
        <w:numPr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0348079A">
      <w:pPr>
        <w:pStyle w:val="4"/>
        <w:spacing w:line="240" w:lineRule="auto"/>
        <w:ind w:left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各厂商审核机制多维对比</w:t>
      </w:r>
    </w:p>
    <w:p w14:paraId="14D46472">
      <w:pPr>
        <w:rPr>
          <w:rFonts w:hint="eastAsia"/>
          <w:lang w:val="en-US" w:eastAsia="zh-CN"/>
        </w:rPr>
      </w:pPr>
    </w:p>
    <w:tbl>
      <w:tblPr>
        <w:tblW w:w="9372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7"/>
        <w:gridCol w:w="2113"/>
        <w:gridCol w:w="2101"/>
        <w:gridCol w:w="2335"/>
        <w:gridCol w:w="1546"/>
      </w:tblGrid>
      <w:tr w14:paraId="2ACE00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57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99788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  <w:t>厂商/平台</w:t>
            </w:r>
          </w:p>
        </w:tc>
        <w:tc>
          <w:tcPr>
            <w:tcW w:w="2100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C0E83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  <w:t>静态审核与准入机制</w:t>
            </w:r>
          </w:p>
        </w:tc>
        <w:tc>
          <w:tcPr>
            <w:tcW w:w="2100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B0C16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  <w:t>动态沙盒与测试验证</w:t>
            </w:r>
          </w:p>
        </w:tc>
        <w:tc>
          <w:tcPr>
            <w:tcW w:w="2320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97BF4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  <w:t>运行时监控与惩罚机制</w:t>
            </w:r>
          </w:p>
        </w:tc>
        <w:tc>
          <w:tcPr>
            <w:tcW w:w="1515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E56E0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0"/>
                <w:lang w:val="en-US" w:eastAsia="zh-CN"/>
              </w:rPr>
              <w:t>核心审核导向</w:t>
            </w:r>
          </w:p>
        </w:tc>
      </w:tr>
      <w:tr w14:paraId="6A2C32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7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28020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OpenAI</w:t>
            </w:r>
          </w:p>
        </w:tc>
        <w:tc>
          <w:tcPr>
            <w:tcW w:w="2100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AD670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强依赖 OpenAPI Schema 校验；强制验证开发者域名与隐私政策 URL。</w:t>
            </w:r>
          </w:p>
        </w:tc>
        <w:tc>
          <w:tcPr>
            <w:tcW w:w="2100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76D43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无强制沙盒跑通要求，依赖自动化内容安全与品牌合规扫描。</w:t>
            </w:r>
          </w:p>
        </w:tc>
        <w:tc>
          <w:tcPr>
            <w:tcW w:w="2320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56158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核心监控 Invalid Request Rate (无效请求率) 与超时。违规或高频报错自动降级/下架，提供申诉通道。</w:t>
            </w:r>
          </w:p>
        </w:tc>
        <w:tc>
          <w:tcPr>
            <w:tcW w:w="1515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3EF99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内容生态与合规</w:t>
            </w:r>
          </w:p>
          <w:p w14:paraId="3287B1B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（类似 App Store，重政策管控与标准化）</w:t>
            </w:r>
          </w:p>
        </w:tc>
      </w:tr>
      <w:tr w14:paraId="1E3587A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52E16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Anthropic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32932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严查工具 Description 的语义清晰度，要求强制显式声明失败处理逻辑。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C8DF3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零信任沙盒隔离，网络请求和文件操作默认拦截，需提供 3 个以上的标准测试用例。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05BBA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引入思维链 (CoT) 反思监控，防止模型为凑齐参数而编造数据（幻觉）。需用户显式授权高危动作。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65E38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防幻觉与边界隔离</w:t>
            </w:r>
          </w:p>
          <w:p w14:paraId="2ACF962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（重底层沙盒隔离与模型认知约束）</w:t>
            </w:r>
          </w:p>
        </w:tc>
      </w:tr>
      <w:tr w14:paraId="43BBDC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5AAA6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Google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11012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OpenAPI 3.0 强类型校验（Type, Enum 严格比对）；企业级 IAM 鉴权审查。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F4CB7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侧重云原生部署的安全隔离，与 Google Cloud 安全策略拉齐。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88371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严格的输入输出清洗 (Sanitization)。拦截不符合 Schema 的返回体，防范前端 XSS 与指令注入。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98622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企业级设施与数据链路安全</w:t>
            </w:r>
          </w:p>
          <w:p w14:paraId="0C23B9C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（重供应链审计与防注入）</w:t>
            </w:r>
          </w:p>
        </w:tc>
      </w:tr>
      <w:tr w14:paraId="6AB035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E49B4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字节跳动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58EC76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API 基础字段与命名规范扫描，防废话修饰。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D109F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强制在线沙盒试运行，抓取真实 I/O 固化为 Test Case；内置 AI 投毒对抗测试。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5B74A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实时监控 API 连通率与报错率。根据真实调用数据和用户评分驱动“热榜”分发或限流。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270E2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高可用性与非技术人员体验</w:t>
            </w:r>
          </w:p>
          <w:p w14:paraId="7B88DB7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（重开箱即用与业务闭环）</w:t>
            </w:r>
          </w:p>
        </w:tc>
      </w:tr>
      <w:tr w14:paraId="02FBD4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57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A8655F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微软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D6358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依托 Partner Center 的企业资质强认证；Responsible AI 原则合规扫描。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CB4CF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模拟企业租户环境测试，验证跨应用数据读取的合规性。</w:t>
            </w:r>
          </w:p>
        </w:tc>
        <w:tc>
          <w:tcPr>
            <w:tcW w:w="2320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E2C2A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监控数据流转边界，确保不违反企业数据防泄漏 (DLP) 策略。</w:t>
            </w:r>
          </w:p>
        </w:tc>
        <w:tc>
          <w:tcPr>
            <w:tcW w:w="1515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/>
            <w:noWrap w:val="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F9304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商业合规与知识产权</w:t>
            </w:r>
          </w:p>
          <w:p w14:paraId="06979AC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  <w:t>（重企业级合规与数据驻留）</w:t>
            </w:r>
          </w:p>
        </w:tc>
      </w:tr>
    </w:tbl>
    <w:p w14:paraId="4F852219">
      <w:pPr>
        <w:spacing w:line="240" w:lineRule="auto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p w14:paraId="0C10CE5D">
      <w:pPr>
        <w:pStyle w:val="4"/>
        <w:spacing w:line="240" w:lineRule="auto"/>
        <w:ind w:left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审核多步验证</w:t>
      </w:r>
    </w:p>
    <w:p w14:paraId="701D52D9">
      <w:pP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一、 静态元数据与合规准入审核 (Static Metadata &amp; Compliance Review)</w:t>
      </w:r>
    </w:p>
    <w:p w14:paraId="78E79E86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这类审核主要发生在 Skill 提交的最初阶段。系统在不实际运行代码的情况下，通过规则引擎对工具的“身份证”——即 API Schema、参数描述、开发者资质以及法律合规性文件进行死板但严格的扫描。</w:t>
      </w:r>
    </w:p>
    <w:p w14:paraId="7615D93E">
      <w:pPr>
        <w:numPr>
          <w:ilvl w:val="0"/>
          <w:numId w:val="6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包含平台：OpenAI、微软 (Copilot)、字节跳动 (Coze)。</w:t>
      </w:r>
    </w:p>
    <w:p w14:paraId="5B622D1F">
      <w:pPr>
        <w:numPr>
          <w:ilvl w:val="0"/>
          <w:numId w:val="6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平台落地执行方式：</w:t>
      </w:r>
    </w:p>
    <w:p w14:paraId="78AC8212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OpenAI：强制要求 OpenAPI Schema 格式绝对标准。核心卡点在于“资质验证”，任何调用外部 API 的 Action 必须配置真实有效的隐私政策 URL，并且开发者的域名必须经过 DNS TXT 记录解析认证，否则直接在提交入口阻断。</w:t>
      </w:r>
    </w:p>
    <w:p w14:paraId="5832DB43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微软 (Copilot)：极其看重企业身份与商业合规。依托其 Partner Center，开发者必须完成企业资质认证。同时，提交的元数据会经过微软 Responsible AI 引擎的扫描，排查是否存在侵权风险或偏见引导词汇。</w:t>
      </w:r>
    </w:p>
    <w:p w14:paraId="546CDAC4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字节跳动 (Coze)：重点扫描基础字段的规范性。系统会检查 API 名称和描述是否包含有效语义，拦截那些堆砌修饰词（如“这是一个非常强大的工具”）而没有实质动作描述的冗余 Skill。</w:t>
      </w:r>
    </w:p>
    <w:p w14:paraId="112B9AA7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639B2644">
      <w:pP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二、 动态沙盒与安全攻防验证 (Dynamic Sandbox &amp; Offensive/Defensive Isolation)</w:t>
      </w:r>
    </w:p>
    <w:p w14:paraId="0C77DE18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这类审核是系统将 Skill 放入一个虚拟的“隔离室”中进行试运行，或者引入对抗机制来测试该工具在面对复杂、甚至恶意的用户输入时，是否会引发系统崩溃、数据泄露或模型失控。</w:t>
      </w:r>
    </w:p>
    <w:p w14:paraId="0FCA9FF0">
      <w:pPr>
        <w:numPr>
          <w:ilvl w:val="0"/>
          <w:numId w:val="8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包含平台：Anthropic、字节跳动 (Coze)、Google。</w:t>
      </w:r>
    </w:p>
    <w:p w14:paraId="70693FC8">
      <w:pPr>
        <w:numPr>
          <w:ilvl w:val="0"/>
          <w:numId w:val="8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平台落地执行方式：</w:t>
      </w:r>
    </w:p>
    <w:p w14:paraId="29E8F199">
      <w:pPr>
        <w:numPr>
          <w:ilvl w:val="0"/>
          <w:numId w:val="9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字节跳动 (Coze)：采用“强制试运行与红蓝对抗”结合的机制。提交前，开发者必须在沙盒控制台中成功调通一次接口，系统以此抓取真实的 Input/Output 固化为测试集。随后，系统会派出内部的测试 Agent 生成恶意的 Prompt（投毒测试），攻击该 Skill 以验证其风控阈值。</w:t>
      </w:r>
    </w:p>
    <w:p w14:paraId="3A9A2D43">
      <w:pPr>
        <w:numPr>
          <w:ilvl w:val="0"/>
          <w:numId w:val="9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Anthropic：实施“零信任沙盒”。要求开发者提供至少 3 个以上的标准测试用例。在审核与试运行期间，任何涉及物理环境改变的动作（如文件写入、网络请求）都被默认拦截，强制验证开发者是否显式声明了针对“失败场景”的处理逻辑。</w:t>
      </w:r>
    </w:p>
    <w:p w14:paraId="2247F190">
      <w:pPr>
        <w:numPr>
          <w:ilvl w:val="0"/>
          <w:numId w:val="9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Google：侧重云原生级别的物理与网络隔离。将 Skill 放在极高安全级别的容器中运行，并重点测试“输出清洗 (Sanitization)”。系统会模拟 API 返回恶意载荷，测试底层网关能否有效过滤并拦截，以防范前端渲染时发生 XSS 攻击或指令注入。</w:t>
      </w:r>
    </w:p>
    <w:p w14:paraId="48F10D4B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0D8D74A8">
      <w:pP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 xml:space="preserve">三、 运行时监控与模型反思评判 </w:t>
      </w:r>
    </w:p>
    <w:p w14:paraId="33515761"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这类评判发生在上架之后，属于动态的、持续的质量考核。通过监控实际业务中大模型调用该 Skill 的成功率、报错率以及资源消耗，来决定该工具在集市中的生死存亡。</w:t>
      </w:r>
    </w:p>
    <w:p w14:paraId="56CFDF80">
      <w:pPr>
        <w:numPr>
          <w:ilvl w:val="0"/>
          <w:numId w:val="10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包含平台：OpenAI、Anthropic。</w:t>
      </w:r>
    </w:p>
    <w:p w14:paraId="1FF57AB1">
      <w:pPr>
        <w:numPr>
          <w:ilvl w:val="0"/>
          <w:numId w:val="10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平台落地执行方式：</w:t>
      </w:r>
    </w:p>
    <w:p w14:paraId="28E86F4D">
      <w:pPr>
        <w:numPr>
          <w:ilvl w:val="0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OpenAI：设立了“无效请求率 (Invalid Request Rate)”这一核心熔断指标。如果一个 Skill 上架后，因为描述含糊导致大模型频繁传错参数，或者 30 秒内无法返回结果，系统会自动降低该工具的路由调度权重，甚至强制下架。</w:t>
      </w:r>
    </w:p>
    <w:p w14:paraId="02EBFFB1">
      <w:pPr>
        <w:numPr>
          <w:ilvl w:val="0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Anthropic：引入“思维链 (Chain of Thought) 审计”。在 Skill 执行前后，系统会利用微型审计模型去监控 Claude 的思考过程，评估其是否为了凑齐工具的必填参数而开始“编造数据”（幻觉）。同时，严格监控 Token 消耗，要求工具的开销必须与任务复杂度相匹配。</w:t>
      </w:r>
    </w:p>
    <w:p w14:paraId="127C0E91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2708353B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四、 组织权限与数据边界审查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 xml:space="preserve"> </w:t>
      </w:r>
    </w:p>
    <w:p w14:paraId="474D7485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这类审核主要面向企业内部应用场景，核心目标是防止 Agent 在调度工具时发生“越权访问”或突破内网数据隔离带。</w:t>
      </w:r>
    </w:p>
    <w:p w14:paraId="51D615F3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包含平台：阿里 (钉钉)、微软 (Copilot)、Google。</w:t>
      </w:r>
    </w:p>
    <w:p w14:paraId="3A8EAC0E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平台落地执行方式：</w:t>
      </w:r>
    </w:p>
    <w:p w14:paraId="5A0620BD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阿里 (钉钉)：深度融合企业组织架构。审核系统会穿透到底层 RPA 引擎，验证 Skill 的 OpenAPI 参数中是否具备合规的 OAuth/Token 鉴权逻辑。在运行时，动态比对当前调度该工具的员工岗位角色，确保其没有查询到越权的数据。</w:t>
      </w:r>
    </w:p>
    <w:p w14:paraId="20BD8EF6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微软 (Copilot)：强制审查数据驻留 (Data Residency) 与数据防泄漏 (DLP) 策略。审核工具在跨应用提取数据时，是否会将敏感的企业数据传出合规边界之外。</w:t>
      </w:r>
    </w:p>
    <w:p w14:paraId="60E59311">
      <w:pPr>
        <w:numPr>
          <w:ilvl w:val="0"/>
          <w:numId w:val="12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Google：将 Skill 的审核与 Google Cloud IAM（身份与访问管理）融为一体。任何工具的注册和权限声明，都必须通过企业云环境组织层级的合规审计，确保底层云资源调用的合法性。</w:t>
      </w:r>
    </w:p>
    <w:p w14:paraId="2283DBAC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644500DD">
      <w:pPr>
        <w:pStyle w:val="4"/>
        <w:spacing w:line="240" w:lineRule="auto"/>
        <w:ind w:left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核心设计原则提炼</w:t>
      </w:r>
    </w:p>
    <w:p w14:paraId="2CF5C853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原则一：强契约与语义确定性原则</w:t>
      </w:r>
    </w:p>
    <w:p w14:paraId="5355F2C2">
      <w:pPr>
        <w:widowControl w:val="0"/>
        <w:numPr>
          <w:ilvl w:val="0"/>
          <w:numId w:val="13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定义规范：Skill 必须被视为高度标准化的外挂函数，大模型是“意图路由引擎”。所有 Skill 强制采用标准的 JSON Schema 或 YAML 定义。</w:t>
      </w:r>
    </w:p>
    <w:p w14:paraId="4A0DB70E">
      <w:pPr>
        <w:widowControl w:val="0"/>
        <w:numPr>
          <w:ilvl w:val="0"/>
          <w:numId w:val="13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动作导向 (Action-Oriented)：工具命名（Name）必须是全局唯一且机器友好的英文动宾短语（如 query_employee_data）。描述（Description）必须使用祈使句，精准界定“此工具解决什么具体问题”，彻底杜绝过度营销或毫无业务价值的废话修饰。</w:t>
      </w:r>
    </w:p>
    <w:p w14:paraId="236D32C7">
      <w:pPr>
        <w:widowControl w:val="0"/>
        <w:numPr>
          <w:ilvl w:val="0"/>
          <w:numId w:val="13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硬性类型校验：严格区分“必填项（Required）”与“选填项（Optional）”。对于有固定取值范围的参数，强制使用 Enum（枚举值），绝不给大模型自由发挥或猜测的空间。</w:t>
      </w:r>
    </w:p>
    <w:p w14:paraId="4F8C5EB6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25D55214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原则二：防御性边界与容错原则</w:t>
      </w:r>
    </w:p>
    <w:p w14:paraId="23E5350E">
      <w:pPr>
        <w:widowControl w:val="0"/>
        <w:numPr>
          <w:ilvl w:val="0"/>
          <w:numId w:val="14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负向提示墙 (Negative Prompts)：在 Skill 的元数据描述中，必须强制包含“使用禁区”。即明确写出“在什么情况下绝对不能调度此工具”（例如：“如果需要查询跨年数据，请勿使用此工具”），以此物理阻断大模型的越界推理。</w:t>
      </w:r>
    </w:p>
    <w:p w14:paraId="75DD2DED">
      <w:pPr>
        <w:widowControl w:val="0"/>
        <w:numPr>
          <w:ilvl w:val="0"/>
          <w:numId w:val="14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显式异常预期 (Explicit Error Handling)：默认工具调用存在失败率。开发者必须在描述中声明找不到数据或接口超时后的“兜底返回逻辑”（例如：“如查无此人，请直接返回‘未匹配到员工’，严禁自行推断同音字”），防止模型因凑齐参数而产生严重幻觉。</w:t>
      </w:r>
    </w:p>
    <w:p w14:paraId="49AC9D52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21DA24B6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原则三：输入输出白盒化与清洗原则</w:t>
      </w:r>
    </w:p>
    <w:p w14:paraId="7D9BA047">
      <w:pPr>
        <w:widowControl w:val="0"/>
        <w:numPr>
          <w:ilvl w:val="0"/>
          <w:numId w:val="15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双向契约：为了支撑后续“AI 裁判”的自动化质检，Skill 不仅要定义清晰的“入参（Parameters）”，更要定义明确的“出参（Returns Schema）”。质检的客观标准即为大模型输出是否完美契合 Returns Schema。</w:t>
      </w:r>
    </w:p>
    <w:p w14:paraId="50C6B947">
      <w:pPr>
        <w:widowControl w:val="0"/>
        <w:numPr>
          <w:ilvl w:val="0"/>
          <w:numId w:val="15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输出清洗 (Sanitization)：在 SkillHub 的网关层设立数据过滤机制。拦截不符合 Schema 的返回体，清洗掉冗余的超长 null 字段或潜在的恶意载荷，确保喂给大模型上下文的数据绝对纯净，防范前端指令注入。</w:t>
      </w:r>
    </w:p>
    <w:p w14:paraId="38514E0A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1C07E343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原则四：多维漏斗式沙盒验证原则</w:t>
      </w:r>
    </w:p>
    <w:p w14:paraId="0F6B9A2B">
      <w:pPr>
        <w:widowControl w:val="0"/>
        <w:numPr>
          <w:ilvl w:val="0"/>
          <w:numId w:val="16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沙盒强制跑通：拒绝纯静态的人工代码走查。任何 Skill 提交上架前，必须在平台的 Playground（沙盒）中至少成功调通一次，系统以此抓取真实的 Input/Output 固化为“黄金测试集（Golden Test Case）”。</w:t>
      </w:r>
    </w:p>
    <w:p w14:paraId="3337241B">
      <w:pPr>
        <w:widowControl w:val="0"/>
        <w:numPr>
          <w:ilvl w:val="0"/>
          <w:numId w:val="16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交叉对抗质检：引入多基座模型作为“评审 Agent”，基于“指令遵循度、输出合规性、业务解决度”进行红蓝对抗打分。</w:t>
      </w:r>
    </w:p>
    <w:p w14:paraId="361D1AAA">
      <w:pPr>
        <w:widowControl w:val="0"/>
        <w:numPr>
          <w:ilvl w:val="0"/>
          <w:numId w:val="16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运行时熔断监控：上线不是终点。系统需监控 Skill 的“无效请求率 (Invalid Request Rate)”与连通率，一旦因元数据描述歧义导致模型频频传错参数，系统自动执行降权或熔断下架。</w:t>
      </w:r>
    </w:p>
    <w:p w14:paraId="4D1B5AE1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788A4620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原则五：组织权限感知与场景化隔离原则</w:t>
      </w:r>
    </w:p>
    <w:p w14:paraId="54F590B0">
      <w:pPr>
        <w:widowControl w:val="0"/>
        <w:numPr>
          <w:ilvl w:val="0"/>
          <w:numId w:val="1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动态权限穿透：Skill 的执行必须与企业内部的 SSO/IAM 鉴权打通。底层 API 网关需要隐式注入当前调用者的组织架构 ID 与角色 Token，防止普通员工通过 AI 越权查询敏感数据（如薪资、高管考勤）。</w:t>
      </w:r>
    </w:p>
    <w:p w14:paraId="5F0BD76B">
      <w:pPr>
        <w:widowControl w:val="0"/>
        <w:numPr>
          <w:ilvl w:val="0"/>
          <w:numId w:val="1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业务场景主导：在集市分发层面，摒弃按底层技术栈（Python/API/RPA）的极客分类法。强制以高度内聚的业务场景（如“财务审计”、“人力资源”、“运维监控”）建立分类树，扫除业务人员的认知障碍。</w:t>
      </w:r>
    </w:p>
    <w:p w14:paraId="655214D1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41019E45">
      <w:pPr>
        <w:pStyle w:val="2"/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主流厂商Skill/Tool</w:t>
      </w:r>
      <w:r>
        <w:rPr>
          <w:rFonts w:hint="eastAsia" w:ascii="微软雅黑" w:hAnsi="微软雅黑" w:eastAsia="微软雅黑" w:cs="微软雅黑"/>
          <w:lang w:val="en-US" w:eastAsia="zh-CN"/>
        </w:rPr>
        <w:t>效果评判</w:t>
      </w:r>
    </w:p>
    <w:p w14:paraId="245A4E67">
      <w:pPr>
        <w:pStyle w:val="4"/>
        <w:spacing w:line="240" w:lineRule="auto"/>
        <w:ind w:left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 xml:space="preserve">.1 </w:t>
      </w:r>
      <w:r>
        <w:rPr>
          <w:rFonts w:hint="eastAsia" w:ascii="微软雅黑" w:hAnsi="微软雅黑" w:eastAsia="微软雅黑" w:cs="微软雅黑"/>
          <w:lang w:val="en-US" w:eastAsia="zh-CN"/>
        </w:rPr>
        <w:t>参考效果评判机制</w:t>
      </w:r>
    </w:p>
    <w:p w14:paraId="1F486A79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Anthropic (Claude)：业界最完善的 Agentic 评判体系</w:t>
      </w:r>
    </w:p>
    <w:p w14:paraId="6E5ADEBE">
      <w:pPr>
        <w:widowControl w:val="0"/>
        <w:numPr>
          <w:numId w:val="0"/>
        </w:numPr>
        <w:snapToGrid w:val="0"/>
        <w:spacing w:before="60" w:after="60" w:line="312" w:lineRule="auto"/>
        <w:ind w:left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Anthropic 是目前在“工具评测（Tool Evaluation）”领域公开工程化实践最深入的厂商。他们明确指出，评判一个 Skill/Tool 不能只看单次请求，而必须置于多轮对话的 Agent 循环中去评估。</w:t>
      </w:r>
    </w:p>
    <w:p w14:paraId="2021ACD4">
      <w:pPr>
        <w:widowControl w:val="0"/>
        <w:numPr>
          <w:ilvl w:val="0"/>
          <w:numId w:val="18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分级评测体系 (Capability vs. Regression Evals)</w:t>
      </w:r>
    </w:p>
    <w:p w14:paraId="7EA302DB">
      <w:pPr>
        <w:widowControl w:val="0"/>
        <w:numPr>
          <w:ilvl w:val="0"/>
          <w:numId w:val="19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能力评测 (Capability Evals)： 针对新提交的 Skill，测试“大模型到底能不能用好这个工具”。这通常是一个带有挑战性的基准测试，初始通过率可能很低，用于探明工具描述的边界。</w:t>
      </w:r>
    </w:p>
    <w:p w14:paraId="4F5771CD">
      <w:pPr>
        <w:widowControl w:val="0"/>
        <w:numPr>
          <w:ilvl w:val="0"/>
          <w:numId w:val="19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回归评测 (Regression Evals)： 当一个 Skill 跑通并上架后，它会进入回归测试集。系统会定期高频运行，要求通过率接近 100%，以监控底层 API 是否发生了暗中变更（Breaking changes）。</w:t>
      </w:r>
    </w:p>
    <w:p w14:paraId="490D1B08">
      <w:pPr>
        <w:widowControl w:val="0"/>
        <w:numPr>
          <w:ilvl w:val="0"/>
          <w:numId w:val="18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“三足鼎立”的打分器机制 (The Grader Triad) Anthropic 建议在评判流中混合使用三种裁判：</w:t>
      </w:r>
    </w:p>
    <w:p w14:paraId="54BA24CA">
      <w:pPr>
        <w:widowControl w:val="0"/>
        <w:numPr>
          <w:ilvl w:val="0"/>
          <w:numId w:val="20"/>
        </w:numPr>
        <w:tabs>
          <w:tab w:val="clear" w:pos="420"/>
        </w:tabs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代码打分器 (Code-based graders)： 速度快、成本低。直接写断言（Assertions）比对 JSON 格式、必填项缺失、以及底层 API 返回的 HTTP 状态码。</w:t>
      </w:r>
    </w:p>
    <w:p w14:paraId="06904813">
      <w:pPr>
        <w:widowControl w:val="0"/>
        <w:numPr>
          <w:ilvl w:val="0"/>
          <w:numId w:val="20"/>
        </w:numPr>
        <w:tabs>
          <w:tab w:val="clear" w:pos="420"/>
        </w:tabs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模型打分器 (Model-based graders / LLM-as-a-judge)： 用于评判“业务解决度”。例如，工具返回了 500 行数据，模型裁判需要评估执行 Agent 是否从中提取了正确的结论。</w:t>
      </w:r>
    </w:p>
    <w:p w14:paraId="2C5A06F9">
      <w:pPr>
        <w:widowControl w:val="0"/>
        <w:numPr>
          <w:ilvl w:val="0"/>
          <w:numId w:val="20"/>
        </w:numPr>
        <w:tabs>
          <w:tab w:val="clear" w:pos="420"/>
        </w:tabs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人类打分器 (Human graders)： 作为黄金标准，仅用于定期抽样，以此来校准“模型打分器”的准确度（防止 AI 裁判产生偏见）。</w:t>
      </w:r>
    </w:p>
    <w:p w14:paraId="15E5DC14">
      <w:pPr>
        <w:widowControl w:val="0"/>
        <w:numPr>
          <w:ilvl w:val="0"/>
          <w:numId w:val="18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强制思维链与反馈注入 (CoT &amp; Feedback Injection) 在实际的自动评测工作流中，Anthropic 会强制 Agent 在输出最终调用指令前，先输出特定的 XML 标签：</w:t>
      </w:r>
    </w:p>
    <w:p w14:paraId="1EA11233">
      <w:pPr>
        <w:widowControl w:val="0"/>
        <w:numPr>
          <w:ilvl w:val="0"/>
          <w:numId w:val="21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&lt;summary&gt;：解释当前的任务步骤，以及为什么选择调用这个 Skill。</w:t>
      </w:r>
    </w:p>
    <w:p w14:paraId="48FF249D">
      <w:pPr>
        <w:widowControl w:val="0"/>
        <w:numPr>
          <w:ilvl w:val="0"/>
          <w:numId w:val="21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&lt;feedback&gt;：如果在调用中发生错误，要求 Agent 反思是工具的名字太模糊、参数定义不清晰，还是 API 报错。</w:t>
      </w:r>
    </w:p>
    <w:p w14:paraId="0BCB9643">
      <w:pPr>
        <w:widowControl w:val="0"/>
        <w:numPr>
          <w:ilvl w:val="0"/>
          <w:numId w:val="21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评判标准： AI 裁判不仅给最终结果打分，还会对这些 &lt;feedback&gt; 内容进行语义分析，从而反向给 Skill 的开发者提供修改建议（例如：“参数 user_id 文档缺失，导致模型多次试错”）。</w:t>
      </w:r>
    </w:p>
    <w:p w14:paraId="73843218">
      <w:pPr>
        <w:widowControl w:val="0"/>
        <w:numPr>
          <w:ilvl w:val="0"/>
          <w:numId w:val="18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Transcript Auditing（审计原纪录）</w:t>
      </w:r>
    </w:p>
    <w:p w14:paraId="096D7370">
      <w:pPr>
        <w:widowControl w:val="0"/>
        <w:numPr>
          <w:ilvl w:val="0"/>
          <w:numId w:val="22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Anthropic 强调，纯粹的分数是会骗人的。有时候打分器给了一个“Fail（失败）”，但如果去阅读原始调用日志（Transcript），会发现大模型其实用了一种极其聪明但出乎意料的方式组合了 Skill 解决了问题。因此，高质量的评判系统必须保留完整的 I/O 日志面板。</w:t>
      </w:r>
    </w:p>
    <w:p w14:paraId="558A571D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08485093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业界通用基准：BFCL (Berkeley Function Calling Leaderboard)</w:t>
      </w:r>
    </w:p>
    <w:p w14:paraId="5ABFA85A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在开源界与 OpenAI 等厂商的底层能力测试中，加州大学伯克利分校发布的 BFCL 是目前衡量大模型 Function Calling 能力的绝对事实标准。他们的评判维度极具参考价值，主要分为两条路线：</w:t>
      </w:r>
    </w:p>
    <w:p w14:paraId="0D6AC9F0">
      <w:pPr>
        <w:widowControl w:val="0"/>
        <w:numPr>
          <w:ilvl w:val="0"/>
          <w:numId w:val="23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AST 评测 (Abstract Syntax Tree Evaluation) - 静态遵循度</w:t>
      </w:r>
    </w:p>
    <w:p w14:paraId="6C20B42C">
      <w:pPr>
        <w:widowControl w:val="0"/>
        <w:numPr>
          <w:ilvl w:val="0"/>
          <w:numId w:val="24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不真实发起网络请求，而是将模型输出的 JSON 字符串解析为抽象语法树，与设定的 Schema 进行严格的参数匹配度检查。</w:t>
      </w:r>
    </w:p>
    <w:p w14:paraId="785DD6CB">
      <w:pPr>
        <w:widowControl w:val="0"/>
        <w:numPr>
          <w:ilvl w:val="0"/>
          <w:numId w:val="24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考核点： 类型不匹配（Type Mismatch）、参数缺失（Missing Parameter）、幻觉参数（Hallucinated Parameter，即编造了 Skill 中根本不存在的入参）。</w:t>
      </w:r>
    </w:p>
    <w:p w14:paraId="6297488E">
      <w:pPr>
        <w:widowControl w:val="0"/>
        <w:numPr>
          <w:ilvl w:val="0"/>
          <w:numId w:val="23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Executable 评测 (Executable Evaluation) - 动态有效性</w:t>
      </w:r>
    </w:p>
    <w:p w14:paraId="74822734">
      <w:pPr>
        <w:widowControl w:val="0"/>
        <w:numPr>
          <w:ilvl w:val="0"/>
          <w:numId w:val="25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将大模型输出的参数实际代入沙盒环境中的 REST API 或 Python 函数去运行。</w:t>
      </w:r>
    </w:p>
    <w:p w14:paraId="212D5471">
      <w:pPr>
        <w:widowControl w:val="0"/>
        <w:numPr>
          <w:ilvl w:val="0"/>
          <w:numId w:val="25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考核点： * API Executability： 接口是否能走通，是否返回 200 状态码。</w:t>
      </w:r>
    </w:p>
    <w:p w14:paraId="1E26F37A">
      <w:pPr>
        <w:widowControl w:val="0"/>
        <w:numPr>
          <w:ilvl w:val="0"/>
          <w:numId w:val="26"/>
        </w:numPr>
        <w:snapToGrid w:val="0"/>
        <w:spacing w:before="60" w:after="60" w:line="312" w:lineRule="auto"/>
        <w:ind w:left="126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State Changes（状态变更）： 对于有副作用的写操作 Skill（如发邮件、建日程），系统会去查询底层数据库，验证副作用是否真实发生且正确。</w:t>
      </w:r>
    </w:p>
    <w:p w14:paraId="11EE2911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74E47713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OpenAI 与 Google 的核心评测导向</w:t>
      </w:r>
    </w:p>
    <w:p w14:paraId="762D7441">
      <w:pPr>
        <w:widowControl w:val="0"/>
        <w:numPr>
          <w:ilvl w:val="0"/>
          <w:numId w:val="2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OpenAI (Invalid Request Rate - IRR)</w:t>
      </w:r>
    </w:p>
    <w:p w14:paraId="40E2B2E0">
      <w:pPr>
        <w:widowControl w:val="0"/>
        <w:numPr>
          <w:ilvl w:val="0"/>
          <w:numId w:val="28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OpenAI 极其看重“无效请求率 (IRR)”。在 GPTs/Actions 的生态中，如果一个 Skill 的 Schema 描述写得很烂，导致模型经常传错参数格式，OpenAI 的后端不仅会记录这次失败，还会通过自动化的限流机制对该 Skill 进行隐性降权。</w:t>
      </w:r>
    </w:p>
    <w:p w14:paraId="487212D4">
      <w:pPr>
        <w:widowControl w:val="0"/>
        <w:numPr>
          <w:ilvl w:val="0"/>
          <w:numId w:val="28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他们最近的对齐评测（Alignment Evaluation）中也强调，Skill 评测不仅是功能跑通，还要包含越权与拒绝测试（Refusal Testing）：即在评测集里故意混入“请帮我查询全公司薪资”的恶意 Prompt，评判模型是否能正确地拒绝调用某些敏感 Skill。</w:t>
      </w:r>
    </w:p>
    <w:p w14:paraId="57C7DDD9">
      <w:pPr>
        <w:widowControl w:val="0"/>
        <w:numPr>
          <w:ilvl w:val="0"/>
          <w:numId w:val="27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Google (Gemini Extensions)</w:t>
      </w:r>
    </w:p>
    <w:p w14:paraId="6293D82D">
      <w:pPr>
        <w:widowControl w:val="0"/>
        <w:numPr>
          <w:ilvl w:val="0"/>
          <w:numId w:val="29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侧重于强类型闭环。因为 Google 原生支持 OpenAPI 3.0，他们的内部评测极度依赖预设的黄金测试集（Golden Test Set）。</w:t>
      </w:r>
    </w:p>
    <w:p w14:paraId="7424BDDC">
      <w:pPr>
        <w:widowControl w:val="0"/>
        <w:numPr>
          <w:ilvl w:val="0"/>
          <w:numId w:val="29"/>
        </w:numPr>
        <w:snapToGrid w:val="0"/>
        <w:spacing w:before="60" w:after="60" w:line="312" w:lineRule="auto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如果返回的 JSON 嵌套层级深且包含非法枚举值（Enum violation），系统的底层网关（Gateway）会直接在运行时给该次调用打上“格式熔断”的极低评分。</w:t>
      </w:r>
    </w:p>
    <w:p w14:paraId="2A347AB1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2EFB3A6B">
      <w:pPr>
        <w:pStyle w:val="4"/>
        <w:spacing w:line="240" w:lineRule="auto"/>
        <w:ind w:left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核心设计原则提炼</w:t>
      </w:r>
    </w:p>
    <w:p w14:paraId="5367AD60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原则一：双轨评测与沙盒执行原则 (Principle of Dual-Track Evaluation &amp; Execution)</w:t>
      </w:r>
    </w:p>
    <w:p w14:paraId="1DC1AB0F">
      <w:pPr>
        <w:widowControl w:val="0"/>
        <w:numPr>
          <w:ilvl w:val="0"/>
          <w:numId w:val="3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规范提炼： 评判不能仅停留在静态代码扫描，必须结合“静态语法树（AST）校验”与“动态沙盒执行” 。在生命周期管理上，新入库技能需通过高难度的“能力评测（Capability Evals）”探明边界；已上架技能需高频进行“回归评测（Regression Evals）”以监控底层 API 异动 。 </w:t>
      </w:r>
    </w:p>
    <w:p w14:paraId="312E5F68">
      <w:pPr>
        <w:widowControl w:val="0"/>
        <w:numPr>
          <w:ilvl w:val="0"/>
          <w:numId w:val="3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考核红线： 静态扫描需排查类型不匹配与大模型“幻觉参数” ；动态执行必须真实发起调用，验证 HTTP 状态码及底层状态的真实变更 。 </w:t>
      </w:r>
    </w:p>
    <w:p w14:paraId="18AE35A9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p w14:paraId="0E3DE9A1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原则二：三维“裁判”协同评判原则</w:t>
      </w:r>
    </w:p>
    <w:p w14:paraId="45F3E9A6">
      <w:pPr>
        <w:widowControl w:val="0"/>
        <w:numPr>
          <w:ilvl w:val="0"/>
          <w:numId w:val="3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规范提炼： 摒弃单一维度的打分，构建代码、大模型与人类协同的复合评判体系 。 </w:t>
      </w:r>
    </w:p>
    <w:p w14:paraId="7B1B564B">
      <w:pPr>
        <w:widowControl w:val="0"/>
        <w:numPr>
          <w:ilvl w:val="0"/>
          <w:numId w:val="3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机制设计： 基础参数和返回状态码交由低成本的“代码打分器 (Code-based graders)”实行秒级断言比对 ；业务结论的正确性交由“模型打分器 (Model-based graders)”进行语义评估 ；定期引入“人类打分器 (Human graders)”抽样复核，以校准模型裁判的偏差 。 </w:t>
      </w:r>
    </w:p>
    <w:p w14:paraId="4ECFFAEC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p w14:paraId="65075A7A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原则三：全链路可观测与反馈闭环原则</w:t>
      </w:r>
    </w:p>
    <w:p w14:paraId="6BC9C05E">
      <w:pPr>
        <w:widowControl w:val="0"/>
        <w:numPr>
          <w:ilvl w:val="0"/>
          <w:numId w:val="3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规范提炼： 评判系统不仅要给出“通过/失败”的结论，更要输出失败的“归因”。必须保留完整的 API 调用日志（Transcript Auditing），以防止纯粹的分数掩盖了模型执行的真实逻辑 。 </w:t>
      </w:r>
    </w:p>
    <w:p w14:paraId="704E9E6A">
      <w:pPr>
        <w:widowControl w:val="0"/>
        <w:numPr>
          <w:ilvl w:val="0"/>
          <w:numId w:val="3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机制设计： 强制要求“评审 Agent”在判定失败时输出 &lt;feedback&gt; 标签，指出是 Skill 命名模糊、参数缺失还是底层报错，反向为开发者提供精准的修改建议 。 </w:t>
      </w:r>
    </w:p>
    <w:p w14:paraId="57DBBA83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p w14:paraId="4EF6AEAD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0"/>
          <w:szCs w:val="20"/>
          <w:lang w:val="en-US" w:eastAsia="zh-CN"/>
        </w:rPr>
        <w:t>原则四：红线越权测试与运行时熔断原则</w:t>
      </w:r>
    </w:p>
    <w:p w14:paraId="01C8FE35">
      <w:pPr>
        <w:widowControl w:val="0"/>
        <w:numPr>
          <w:ilvl w:val="0"/>
          <w:numId w:val="3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规范提炼： 评测体系必须包含防御性边界测试。向 Skill 注入恶意提示词，考核模型是否能准确执行“拒绝调用（Refusal Testing）”，防止敏感接口越权 。 </w:t>
      </w:r>
    </w:p>
    <w:p w14:paraId="5B115153">
      <w:pPr>
        <w:widowControl w:val="0"/>
        <w:numPr>
          <w:ilvl w:val="0"/>
          <w:numId w:val="30"/>
        </w:numPr>
        <w:snapToGrid w:val="0"/>
        <w:spacing w:before="60" w:after="60" w:line="312" w:lineRule="auto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>机制设计： 引入“无效请求率 (Invalid Request Rate - IRR)”作为运行时核心指标 。若因描述含糊导致模型高频报错，或底层网关遭遇非</w:t>
      </w:r>
      <w:bookmarkStart w:id="0" w:name="_GoBack"/>
      <w:bookmarkEnd w:id="0"/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t xml:space="preserve">法枚举值 ，系统需自动触发隐性降权或格式熔断机制 。 </w:t>
      </w:r>
    </w:p>
    <w:p w14:paraId="40A243F7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p w14:paraId="4A8C418E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p w14:paraId="7D9C73BA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2C10295A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64DF1B56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054F2C19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33B4C79">
      <w:pPr>
        <w:widowControl w:val="0"/>
        <w:numPr>
          <w:numId w:val="0"/>
        </w:numPr>
        <w:snapToGrid w:val="0"/>
        <w:spacing w:before="60" w:after="60" w:line="312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29ED7C5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FAD7CC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FEA55FB">
      <w:pPr>
        <w:widowControl w:val="0"/>
        <w:numPr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429FD1D3">
      <w:pPr>
        <w:widowControl w:val="0"/>
        <w:numPr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4C243787">
      <w:pPr>
        <w:widowControl w:val="0"/>
        <w:numPr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6331741C">
      <w:pPr>
        <w:widowControl w:val="0"/>
        <w:numPr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73FC80C9">
      <w:pPr>
        <w:widowControl w:val="0"/>
        <w:numPr>
          <w:numId w:val="0"/>
        </w:numPr>
        <w:pBdr>
          <w:bottom w:val="none" w:color="auto" w:sz="0" w:space="0"/>
        </w:pBdr>
        <w:snapToGrid w:val="0"/>
        <w:spacing w:before="60" w:after="60" w:line="240" w:lineRule="auto"/>
        <w:jc w:val="left"/>
        <w:rPr>
          <w:rFonts w:hint="eastAsia" w:ascii="微软雅黑" w:hAnsi="微软雅黑" w:eastAsia="微软雅黑" w:cs="微软雅黑"/>
        </w:rPr>
      </w:pPr>
    </w:p>
    <w:p w14:paraId="3B18F045">
      <w:pPr>
        <w:spacing w:line="240" w:lineRule="auto"/>
        <w:rPr>
          <w:rFonts w:hint="eastAsia" w:ascii="微软雅黑" w:hAnsi="微软雅黑" w:eastAsia="微软雅黑" w:cs="微软雅黑"/>
        </w:rPr>
      </w:pP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_IV25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63B9E"/>
    <w:multiLevelType w:val="singleLevel"/>
    <w:tmpl w:val="8D463B9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1437434"/>
    <w:multiLevelType w:val="singleLevel"/>
    <w:tmpl w:val="9143743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B250388C"/>
    <w:multiLevelType w:val="singleLevel"/>
    <w:tmpl w:val="B25038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F77AB17"/>
    <w:multiLevelType w:val="singleLevel"/>
    <w:tmpl w:val="CF77AB1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D48F426F"/>
    <w:multiLevelType w:val="singleLevel"/>
    <w:tmpl w:val="D48F426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D5E63C1F"/>
    <w:multiLevelType w:val="singleLevel"/>
    <w:tmpl w:val="D5E63C1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D827B217"/>
    <w:multiLevelType w:val="singleLevel"/>
    <w:tmpl w:val="D827B21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">
    <w:nsid w:val="D93A969F"/>
    <w:multiLevelType w:val="multilevel"/>
    <w:tmpl w:val="D93A969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inorEastAsia" w:hAnsi="minorEastAsi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inorEastAsia" w:hAnsi="minorEastAsi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inorEastAsia" w:hAnsi="minorEastAsi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inorEastAsia" w:hAnsi="minorEastAsi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inorEastAsia" w:hAnsi="minorEastAsi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inorEastAsia" w:hAnsi="minorEastAsi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inorEastAsia" w:hAnsi="minorEastAsi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inorEastAsia" w:hAnsi="minorEastAsia"/>
      </w:rPr>
    </w:lvl>
  </w:abstractNum>
  <w:abstractNum w:abstractNumId="8">
    <w:nsid w:val="E9C9FB86"/>
    <w:multiLevelType w:val="singleLevel"/>
    <w:tmpl w:val="E9C9FB8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76" w:hanging="336"/>
      </w:pPr>
    </w:lvl>
    <w:lvl w:ilvl="2" w:tentative="0">
      <w:start w:val="1"/>
      <w:numFmt w:val="lowerLetter"/>
      <w:lvlText w:val="%3)"/>
      <w:lvlJc w:val="left"/>
      <w:pPr>
        <w:ind w:left="1216" w:hanging="336"/>
      </w:pPr>
    </w:lvl>
    <w:lvl w:ilvl="3" w:tentative="0">
      <w:start w:val="1"/>
      <w:numFmt w:val="chineseCountingThousand"/>
      <w:lvlText w:val="%4、"/>
      <w:lvlJc w:val="left"/>
      <w:pPr>
        <w:ind w:left="1782" w:hanging="462"/>
      </w:pPr>
    </w:lvl>
    <w:lvl w:ilvl="4" w:tentative="0">
      <w:start w:val="1"/>
      <w:numFmt w:val="decimal"/>
      <w:lvlText w:val="%5、"/>
      <w:lvlJc w:val="left"/>
      <w:pPr>
        <w:ind w:left="2096" w:hanging="336"/>
      </w:pPr>
    </w:lvl>
    <w:lvl w:ilvl="5" w:tentative="0">
      <w:start w:val="1"/>
      <w:numFmt w:val="lowerLetter"/>
      <w:lvlText w:val="%6)"/>
      <w:lvlJc w:val="left"/>
      <w:pPr>
        <w:ind w:left="2536" w:hanging="336"/>
      </w:pPr>
    </w:lvl>
    <w:lvl w:ilvl="6" w:tentative="0">
      <w:start w:val="1"/>
      <w:numFmt w:val="chineseCountingThousand"/>
      <w:lvlText w:val="%7、"/>
      <w:lvlJc w:val="left"/>
      <w:pPr>
        <w:ind w:left="3102" w:hanging="462"/>
      </w:pPr>
    </w:lvl>
    <w:lvl w:ilvl="7" w:tentative="0">
      <w:start w:val="1"/>
      <w:numFmt w:val="decimal"/>
      <w:lvlText w:val="%8、"/>
      <w:lvlJc w:val="left"/>
      <w:pPr>
        <w:ind w:left="3416" w:hanging="336"/>
      </w:pPr>
    </w:lvl>
    <w:lvl w:ilvl="8" w:tentative="0">
      <w:start w:val="1"/>
      <w:numFmt w:val="lowerLetter"/>
      <w:lvlText w:val="%9)"/>
      <w:lvlJc w:val="left"/>
      <w:pPr>
        <w:ind w:left="3856" w:hanging="336"/>
      </w:pPr>
    </w:lvl>
  </w:abstractNum>
  <w:abstractNum w:abstractNumId="10">
    <w:nsid w:val="07B4F582"/>
    <w:multiLevelType w:val="singleLevel"/>
    <w:tmpl w:val="07B4F5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0A0FAAAA"/>
    <w:multiLevelType w:val="multilevel"/>
    <w:tmpl w:val="0A0FAA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1023B92A"/>
    <w:multiLevelType w:val="singleLevel"/>
    <w:tmpl w:val="1023B9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16F05D6E"/>
    <w:multiLevelType w:val="multilevel"/>
    <w:tmpl w:val="16F05D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">
    <w:nsid w:val="180BDB7D"/>
    <w:multiLevelType w:val="multilevel"/>
    <w:tmpl w:val="180BDB7D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minorEastAsia" w:hAnsi="minorEastAsi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minorEastAsia" w:hAnsi="minorEastAsi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minorEastAsia" w:hAnsi="minorEastAsi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minorEastAsia" w:hAnsi="minorEastAsi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minorEastAsia" w:hAnsi="minorEastAsi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minorEastAsia" w:hAnsi="minorEastAsi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minorEastAsia" w:hAnsi="minorEastAsi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minorEastAsia" w:hAnsi="minorEastAsia"/>
      </w:rPr>
    </w:lvl>
  </w:abstractNum>
  <w:abstractNum w:abstractNumId="15">
    <w:nsid w:val="1A6F63D4"/>
    <w:multiLevelType w:val="singleLevel"/>
    <w:tmpl w:val="1A6F63D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6">
    <w:nsid w:val="1DAC946A"/>
    <w:multiLevelType w:val="singleLevel"/>
    <w:tmpl w:val="1DAC946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7">
    <w:nsid w:val="251A16B3"/>
    <w:multiLevelType w:val="singleLevel"/>
    <w:tmpl w:val="251A16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2709124B"/>
    <w:multiLevelType w:val="singleLevel"/>
    <w:tmpl w:val="270912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30427299"/>
    <w:multiLevelType w:val="singleLevel"/>
    <w:tmpl w:val="304272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3269FC04"/>
    <w:multiLevelType w:val="singleLevel"/>
    <w:tmpl w:val="3269FC0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1">
    <w:nsid w:val="43434C72"/>
    <w:multiLevelType w:val="multilevel"/>
    <w:tmpl w:val="43434C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inorEastAsia" w:hAnsi="minorEastAsi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inorEastAsia" w:hAnsi="minorEastAsi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inorEastAsia" w:hAnsi="minorEastAsi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inorEastAsia" w:hAnsi="minorEastAsi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inorEastAsia" w:hAnsi="minorEastAsi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inorEastAsia" w:hAnsi="minorEastAsi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inorEastAsia" w:hAnsi="minorEastAsi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inorEastAsia" w:hAnsi="minorEastAsia"/>
      </w:rPr>
    </w:lvl>
  </w:abstractNum>
  <w:abstractNum w:abstractNumId="22">
    <w:nsid w:val="48103EB3"/>
    <w:multiLevelType w:val="multilevel"/>
    <w:tmpl w:val="48103E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inorEastAsia" w:hAnsi="minorEastAsi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inorEastAsia" w:hAnsi="minorEastAsi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inorEastAsia" w:hAnsi="minorEastAsi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inorEastAsia" w:hAnsi="minorEastAsi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inorEastAsia" w:hAnsi="minorEastAsi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inorEastAsia" w:hAnsi="minorEastAsi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inorEastAsia" w:hAnsi="minorEastAsi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inorEastAsia" w:hAnsi="minorEastAsia"/>
      </w:rPr>
    </w:lvl>
  </w:abstractNum>
  <w:abstractNum w:abstractNumId="23">
    <w:nsid w:val="555848B0"/>
    <w:multiLevelType w:val="multilevel"/>
    <w:tmpl w:val="555848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4">
    <w:nsid w:val="5755C155"/>
    <w:multiLevelType w:val="singleLevel"/>
    <w:tmpl w:val="5755C1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63CF6C5E"/>
    <w:multiLevelType w:val="singleLevel"/>
    <w:tmpl w:val="63CF6C5E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6">
    <w:nsid w:val="6C830FAE"/>
    <w:multiLevelType w:val="singleLevel"/>
    <w:tmpl w:val="6C830F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72F5EB2A"/>
    <w:multiLevelType w:val="singleLevel"/>
    <w:tmpl w:val="72F5EB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748D9B65"/>
    <w:multiLevelType w:val="singleLevel"/>
    <w:tmpl w:val="748D9B6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79647C33"/>
    <w:multiLevelType w:val="multilevel"/>
    <w:tmpl w:val="79647C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minorEastAsia" w:hAnsi="minorEastAsia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minorEastAsia" w:hAnsi="minorEastAsia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minorEastAsia" w:hAnsi="minorEastAsia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minorEastAsia" w:hAnsi="minorEastAsia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minorEastAsia" w:hAnsi="minorEastAsia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minorEastAsia" w:hAnsi="minorEastAsia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minorEastAsia" w:hAnsi="minorEastAsia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minorEastAsia" w:hAnsi="minorEastAsia"/>
      </w:rPr>
    </w:lvl>
  </w:abstractNum>
  <w:num w:numId="1">
    <w:abstractNumId w:val="9"/>
  </w:num>
  <w:num w:numId="2">
    <w:abstractNumId w:val="13"/>
  </w:num>
  <w:num w:numId="3">
    <w:abstractNumId w:val="23"/>
  </w:num>
  <w:num w:numId="4">
    <w:abstractNumId w:val="11"/>
  </w:num>
  <w:num w:numId="5">
    <w:abstractNumId w:val="24"/>
  </w:num>
  <w:num w:numId="6">
    <w:abstractNumId w:val="7"/>
  </w:num>
  <w:num w:numId="7">
    <w:abstractNumId w:val="16"/>
  </w:num>
  <w:num w:numId="8">
    <w:abstractNumId w:val="29"/>
  </w:num>
  <w:num w:numId="9">
    <w:abstractNumId w:val="5"/>
  </w:num>
  <w:num w:numId="10">
    <w:abstractNumId w:val="18"/>
  </w:num>
  <w:num w:numId="11">
    <w:abstractNumId w:val="20"/>
  </w:num>
  <w:num w:numId="12">
    <w:abstractNumId w:val="21"/>
  </w:num>
  <w:num w:numId="13">
    <w:abstractNumId w:val="10"/>
  </w:num>
  <w:num w:numId="14">
    <w:abstractNumId w:val="2"/>
  </w:num>
  <w:num w:numId="15">
    <w:abstractNumId w:val="17"/>
  </w:num>
  <w:num w:numId="16">
    <w:abstractNumId w:val="19"/>
  </w:num>
  <w:num w:numId="17">
    <w:abstractNumId w:val="26"/>
  </w:num>
  <w:num w:numId="18">
    <w:abstractNumId w:val="22"/>
  </w:num>
  <w:num w:numId="19">
    <w:abstractNumId w:val="6"/>
  </w:num>
  <w:num w:numId="20">
    <w:abstractNumId w:val="25"/>
  </w:num>
  <w:num w:numId="21">
    <w:abstractNumId w:val="1"/>
  </w:num>
  <w:num w:numId="22">
    <w:abstractNumId w:val="15"/>
  </w:num>
  <w:num w:numId="23">
    <w:abstractNumId w:val="0"/>
  </w:num>
  <w:num w:numId="24">
    <w:abstractNumId w:val="8"/>
  </w:num>
  <w:num w:numId="25">
    <w:abstractNumId w:val="14"/>
  </w:num>
  <w:num w:numId="26">
    <w:abstractNumId w:val="28"/>
  </w:num>
  <w:num w:numId="27">
    <w:abstractNumId w:val="27"/>
  </w:num>
  <w:num w:numId="28">
    <w:abstractNumId w:val="4"/>
  </w:num>
  <w:num w:numId="29">
    <w:abstractNumId w:val="3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94532E7"/>
    <w:rsid w:val="13AF2F6F"/>
    <w:rsid w:val="28A60BF0"/>
    <w:rsid w:val="2CA17BD3"/>
    <w:rsid w:val="2E4B1DBB"/>
    <w:rsid w:val="301F2021"/>
    <w:rsid w:val="31D24AC0"/>
    <w:rsid w:val="39673821"/>
    <w:rsid w:val="3F23468E"/>
    <w:rsid w:val="40324B88"/>
    <w:rsid w:val="42E3660E"/>
    <w:rsid w:val="436F39FE"/>
    <w:rsid w:val="44760DBC"/>
    <w:rsid w:val="45BC6CA2"/>
    <w:rsid w:val="46E14C12"/>
    <w:rsid w:val="4DB0533F"/>
    <w:rsid w:val="536828E1"/>
    <w:rsid w:val="54E67898"/>
    <w:rsid w:val="592743F5"/>
    <w:rsid w:val="59554FEC"/>
    <w:rsid w:val="5BE5067A"/>
    <w:rsid w:val="62347E94"/>
    <w:rsid w:val="64DD0CB7"/>
    <w:rsid w:val="69AC0C58"/>
    <w:rsid w:val="6BA20565"/>
    <w:rsid w:val="74081181"/>
    <w:rsid w:val="75FF4875"/>
    <w:rsid w:val="7D3D633F"/>
    <w:rsid w:val="7DA9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1900</Words>
  <Characters>2927</Characters>
  <TotalTime>13</TotalTime>
  <ScaleCrop>false</ScaleCrop>
  <LinksUpToDate>false</LinksUpToDate>
  <CharactersWithSpaces>3130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2026-05-29T10:52:00Z</dcterms:created>
  <dc:creator>19430</dc:creator>
  <cp:lastModifiedBy>Narcissism</cp:lastModifiedBy>
  <dcterms:modified xsi:type="dcterms:W3CDTF">2026-05-29T08:15:15Z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eyJoZGlkIjoiZGU0MWQ2ZmZjM2U0NGQ4YjY5NGE3MTM1MGIyZGZkOWYiLCJ1c2VySWQiOiI1NjQzMDc4MjQifQ==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DD9C51F76F56444CB90DE29D2CE875A3_12</vt:lpwstr>
  </property>
</Properties>
</file>