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after="200" w:line="25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Statement of Work (SOW)</w:t>
      </w:r>
    </w:p>
    <w:p w:rsidR="00000000" w:rsidDel="00000000" w:rsidP="00000000" w:rsidRDefault="00000000" w:rsidRPr="00000000" w14:paraId="00000005">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Client: </w:t>
      </w:r>
    </w:p>
    <w:p w:rsidR="00000000" w:rsidDel="00000000" w:rsidP="00000000" w:rsidRDefault="00000000" w:rsidRPr="00000000" w14:paraId="00000006">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Charles Schwab </w:t>
      </w:r>
    </w:p>
    <w:p w:rsidR="00000000" w:rsidDel="00000000" w:rsidP="00000000" w:rsidRDefault="00000000" w:rsidRPr="00000000" w14:paraId="00000007">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9">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Bruins in Finance and Banking</w:t>
      </w:r>
    </w:p>
    <w:p w:rsidR="00000000" w:rsidDel="00000000" w:rsidP="00000000" w:rsidRDefault="00000000" w:rsidRPr="00000000" w14:paraId="0000000A">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330 De Neve Drive</w:t>
      </w:r>
    </w:p>
    <w:p w:rsidR="00000000" w:rsidDel="00000000" w:rsidP="00000000" w:rsidRDefault="00000000" w:rsidRPr="00000000" w14:paraId="0000000B">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Los Angeles, 90095</w:t>
      </w:r>
    </w:p>
    <w:p w:rsidR="00000000" w:rsidDel="00000000" w:rsidP="00000000" w:rsidRDefault="00000000" w:rsidRPr="00000000" w14:paraId="0000000C">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D">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E">
      <w:pPr>
        <w:spacing w:after="200" w:line="25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February 2nd, 2026</w:t>
      </w:r>
    </w:p>
    <w:p w:rsidR="00000000" w:rsidDel="00000000" w:rsidP="00000000" w:rsidRDefault="00000000" w:rsidRPr="00000000" w14:paraId="0000000F">
      <w:pPr>
        <w:pStyle w:val="Heading1"/>
        <w:keepNext w:val="0"/>
        <w:keepLines w:val="0"/>
        <w:spacing w:before="480" w:line="192" w:lineRule="auto"/>
        <w:rPr>
          <w:rFonts w:ascii="Times New Roman" w:cs="Times New Roman" w:eastAsia="Times New Roman" w:hAnsi="Times New Roman"/>
          <w:b w:val="1"/>
          <w:bCs w:val="1"/>
          <w:sz w:val="28"/>
          <w:szCs w:val="28"/>
        </w:rPr>
      </w:pPr>
      <w:bookmarkStart w:colFirst="0" w:colLast="0" w:name="_wlyso5dladrn" w:id="0"/>
      <w:bookmarkEnd w:id="0"/>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0">
      <w:pPr>
        <w:spacing w:after="200" w:line="2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shrc8091h1vs" w:id="1"/>
      <w:bookmarkEnd w:id="1"/>
      <w:r w:rsidDel="00000000" w:rsidR="00000000" w:rsidRPr="00000000">
        <w:rPr>
          <w:rFonts w:ascii="Times New Roman" w:cs="Times New Roman" w:eastAsia="Times New Roman" w:hAnsi="Times New Roman"/>
          <w:b w:val="1"/>
          <w:bCs w:val="1"/>
          <w:sz w:val="28"/>
          <w:szCs w:val="28"/>
          <w:rtl w:val="0"/>
        </w:rPr>
        <w:tab/>
        <w:tab/>
        <w:tab/>
        <w:tab/>
        <w:t xml:space="preserve">TABLE OF CONTENTS</w:t>
      </w:r>
    </w:p>
    <w:p w:rsidR="00000000" w:rsidDel="00000000" w:rsidP="00000000" w:rsidRDefault="00000000" w:rsidRPr="00000000" w14:paraId="00000012">
      <w:pPr>
        <w:spacing w:line="276" w:lineRule="auto"/>
        <w:rPr/>
      </w:pPr>
      <w:r w:rsidDel="00000000" w:rsidR="00000000" w:rsidRPr="00000000">
        <w:rPr>
          <w:rtl w:val="0"/>
        </w:rPr>
      </w:r>
    </w:p>
    <w:sdt>
      <w:sdtPr>
        <w:id w:val="-115308099"/>
        <w:docPartObj>
          <w:docPartGallery w:val="Table of Contents"/>
          <w:docPartUnique w:val="1"/>
        </w:docPartObj>
      </w:sdtPr>
      <w:sdtContent>
        <w:p w:rsidR="00000000" w:rsidDel="00000000" w:rsidP="00000000" w:rsidRDefault="00000000" w:rsidRPr="00000000" w14:paraId="00000013">
          <w:pPr>
            <w:tabs>
              <w:tab w:val="right" w:leader="none" w:pos="9360"/>
            </w:tabs>
            <w:spacing w:before="20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tleeol3vgliw">
            <w:r w:rsidDel="00000000" w:rsidR="00000000" w:rsidRPr="00000000">
              <w:rPr>
                <w:rFonts w:ascii="Times New Roman" w:cs="Times New Roman" w:eastAsia="Times New Roman" w:hAnsi="Times New Roman"/>
                <w:b w:val="1"/>
                <w:bCs w:val="1"/>
                <w:sz w:val="24"/>
                <w:szCs w:val="24"/>
                <w:rtl w:val="0"/>
              </w:rPr>
              <w:t xml:space="preserve">I.  Introduction/Background</w:t>
            </w:r>
          </w:hyperlink>
          <w:r w:rsidDel="00000000" w:rsidR="00000000" w:rsidRPr="00000000">
            <w:rPr>
              <w:rFonts w:ascii="Times New Roman" w:cs="Times New Roman" w:eastAsia="Times New Roman" w:hAnsi="Times New Roman"/>
              <w:b w:val="1"/>
              <w:bCs w:val="1"/>
              <w:sz w:val="24"/>
              <w:szCs w:val="24"/>
              <w:rtl w:val="0"/>
            </w:rPr>
            <w:tab/>
            <w:t xml:space="preserve">1</w:t>
          </w:r>
        </w:p>
        <w:p w:rsidR="00000000" w:rsidDel="00000000" w:rsidP="00000000" w:rsidRDefault="00000000" w:rsidRPr="00000000" w14:paraId="00000014">
          <w:pPr>
            <w:tabs>
              <w:tab w:val="right" w:leader="none" w:pos="9360"/>
            </w:tabs>
            <w:spacing w:before="200" w:line="240" w:lineRule="auto"/>
            <w:rPr>
              <w:rFonts w:ascii="Times New Roman" w:cs="Times New Roman" w:eastAsia="Times New Roman" w:hAnsi="Times New Roman"/>
              <w:b w:val="1"/>
              <w:bCs w:val="1"/>
              <w:sz w:val="24"/>
              <w:szCs w:val="24"/>
            </w:rPr>
          </w:pPr>
          <w:hyperlink w:anchor="_yawlg6qf6she">
            <w:r w:rsidDel="00000000" w:rsidR="00000000" w:rsidRPr="00000000">
              <w:rPr>
                <w:rFonts w:ascii="Times New Roman" w:cs="Times New Roman" w:eastAsia="Times New Roman" w:hAnsi="Times New Roman"/>
                <w:b w:val="1"/>
                <w:bCs w:val="1"/>
                <w:sz w:val="24"/>
                <w:szCs w:val="24"/>
                <w:rtl w:val="0"/>
              </w:rPr>
              <w:t xml:space="preserve">II.  Scope of Work</w:t>
            </w:r>
          </w:hyperlink>
          <w:r w:rsidDel="00000000" w:rsidR="00000000" w:rsidRPr="00000000">
            <w:rPr>
              <w:rFonts w:ascii="Times New Roman" w:cs="Times New Roman" w:eastAsia="Times New Roman" w:hAnsi="Times New Roman"/>
              <w:b w:val="1"/>
              <w:bCs w:val="1"/>
              <w:sz w:val="24"/>
              <w:szCs w:val="24"/>
              <w:rtl w:val="0"/>
            </w:rPr>
            <w:tab/>
            <w:t xml:space="preserve">2</w:t>
          </w:r>
        </w:p>
        <w:p w:rsidR="00000000" w:rsidDel="00000000" w:rsidP="00000000" w:rsidRDefault="00000000" w:rsidRPr="00000000" w14:paraId="00000015">
          <w:pPr>
            <w:tabs>
              <w:tab w:val="right" w:leader="none" w:pos="9360"/>
            </w:tabs>
            <w:spacing w:before="200" w:line="240" w:lineRule="auto"/>
            <w:rPr>
              <w:rFonts w:ascii="Times New Roman" w:cs="Times New Roman" w:eastAsia="Times New Roman" w:hAnsi="Times New Roman"/>
              <w:b w:val="1"/>
              <w:bCs w:val="1"/>
              <w:sz w:val="24"/>
              <w:szCs w:val="24"/>
            </w:rPr>
          </w:pPr>
          <w:hyperlink w:anchor="_xz0s8asny9uc">
            <w:r w:rsidDel="00000000" w:rsidR="00000000" w:rsidRPr="00000000">
              <w:rPr>
                <w:rFonts w:ascii="Times New Roman" w:cs="Times New Roman" w:eastAsia="Times New Roman" w:hAnsi="Times New Roman"/>
                <w:b w:val="1"/>
                <w:bCs w:val="1"/>
                <w:sz w:val="24"/>
                <w:szCs w:val="24"/>
                <w:rtl w:val="0"/>
              </w:rPr>
              <w:t xml:space="preserve">III.  Deliverables</w:t>
            </w:r>
          </w:hyperlink>
          <w:r w:rsidDel="00000000" w:rsidR="00000000" w:rsidRPr="00000000">
            <w:rPr>
              <w:rFonts w:ascii="Times New Roman" w:cs="Times New Roman" w:eastAsia="Times New Roman" w:hAnsi="Times New Roman"/>
              <w:b w:val="1"/>
              <w:bCs w:val="1"/>
              <w:sz w:val="24"/>
              <w:szCs w:val="24"/>
              <w:rtl w:val="0"/>
            </w:rPr>
            <w:tab/>
            <w:t xml:space="preserve">2</w:t>
          </w:r>
        </w:p>
        <w:p w:rsidR="00000000" w:rsidDel="00000000" w:rsidP="00000000" w:rsidRDefault="00000000" w:rsidRPr="00000000" w14:paraId="00000016">
          <w:pPr>
            <w:tabs>
              <w:tab w:val="right" w:leader="none" w:pos="9360"/>
            </w:tabs>
            <w:spacing w:before="200" w:line="240" w:lineRule="auto"/>
            <w:rPr>
              <w:rFonts w:ascii="Times New Roman" w:cs="Times New Roman" w:eastAsia="Times New Roman" w:hAnsi="Times New Roman"/>
              <w:b w:val="1"/>
              <w:bCs w:val="1"/>
              <w:sz w:val="24"/>
              <w:szCs w:val="24"/>
            </w:rPr>
          </w:pPr>
          <w:hyperlink w:anchor="_grbxsmq7psqa">
            <w:r w:rsidDel="00000000" w:rsidR="00000000" w:rsidRPr="00000000">
              <w:rPr>
                <w:rFonts w:ascii="Times New Roman" w:cs="Times New Roman" w:eastAsia="Times New Roman" w:hAnsi="Times New Roman"/>
                <w:b w:val="1"/>
                <w:bCs w:val="1"/>
                <w:sz w:val="24"/>
                <w:szCs w:val="24"/>
                <w:rtl w:val="0"/>
              </w:rPr>
              <w:t xml:space="preserve">IV.   Project Timeline</w:t>
            </w:r>
          </w:hyperlink>
          <w:r w:rsidDel="00000000" w:rsidR="00000000" w:rsidRPr="00000000">
            <w:rPr>
              <w:rFonts w:ascii="Times New Roman" w:cs="Times New Roman" w:eastAsia="Times New Roman" w:hAnsi="Times New Roman"/>
              <w:b w:val="1"/>
              <w:bCs w:val="1"/>
              <w:sz w:val="24"/>
              <w:szCs w:val="24"/>
              <w:rtl w:val="0"/>
            </w:rPr>
            <w:tab/>
            <w:t xml:space="preserve">2</w:t>
          </w:r>
        </w:p>
        <w:p w:rsidR="00000000" w:rsidDel="00000000" w:rsidP="00000000" w:rsidRDefault="00000000" w:rsidRPr="00000000" w14:paraId="00000017">
          <w:pPr>
            <w:tabs>
              <w:tab w:val="right" w:leader="none" w:pos="9360"/>
            </w:tabs>
            <w:spacing w:after="80" w:before="200" w:line="240" w:lineRule="auto"/>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sz w:val="24"/>
                <w:szCs w:val="24"/>
                <w:rtl w:val="0"/>
              </w:rPr>
              <w:t xml:space="preserve">V.   Confidentiality and Compliances</w:t>
            </w:r>
          </w:hyperlink>
          <w:r w:rsidDel="00000000" w:rsidR="00000000" w:rsidRPr="00000000">
            <w:rPr>
              <w:rFonts w:ascii="Times New Roman" w:cs="Times New Roman" w:eastAsia="Times New Roman" w:hAnsi="Times New Roman"/>
              <w:b w:val="1"/>
              <w:bCs w:val="1"/>
              <w:sz w:val="24"/>
              <w:szCs w:val="24"/>
              <w:rtl w:val="0"/>
            </w:rPr>
            <w:tab/>
            <w:t xml:space="preserve">3</w:t>
          </w:r>
          <w:r w:rsidDel="00000000" w:rsidR="00000000" w:rsidRPr="00000000">
            <w:fldChar w:fldCharType="end"/>
          </w:r>
        </w:p>
      </w:sdtContent>
    </w:sdt>
    <w:p w:rsidR="00000000" w:rsidDel="00000000" w:rsidP="00000000" w:rsidRDefault="00000000" w:rsidRPr="00000000" w14:paraId="00000018">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odkpi21184mp" w:id="2"/>
      <w:bookmarkEnd w:id="2"/>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tleeol3vgliw" w:id="3"/>
      <w:bookmarkEnd w:id="3"/>
      <w:r w:rsidDel="00000000" w:rsidR="00000000" w:rsidRPr="00000000">
        <w:rPr>
          <w:rFonts w:ascii="Times New Roman" w:cs="Times New Roman" w:eastAsia="Times New Roman" w:hAnsi="Times New Roman"/>
          <w:b w:val="1"/>
          <w:bCs w:val="1"/>
          <w:sz w:val="28"/>
          <w:szCs w:val="28"/>
          <w:rtl w:val="0"/>
        </w:rPr>
        <w:t xml:space="preserve">I.  Introduction/Background</w:t>
      </w:r>
    </w:p>
    <w:p w:rsidR="00000000" w:rsidDel="00000000" w:rsidP="00000000" w:rsidRDefault="00000000" w:rsidRPr="00000000" w14:paraId="0000001E">
      <w:pPr>
        <w:spacing w:after="20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About Client Company</w:t>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Charles Schwab Corporation (“Charles Schwab”)  is an American multinational financial services company offering banking, investing, consulting, and wealth management advisory services to both retail and institutional clients. Founded in 1971, Charles Schwab has grown to over 30,000 employees and nearly $12 trillion assets under management, making it a leader in the financial services and wealth management space. Known for its "client-first" philosophy and "Own Your Tomorrow" mission, Charles Schwab provides extensive support for its investment advisors, as well as low-cost yet high-quality services for over 35 million active brokerage accounts. </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About Bruins in Finance and Banking</w:t>
      </w: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bookmarkStart w:colFirst="0" w:colLast="0" w:name="_5yfh52pa4217" w:id="4"/>
      <w:bookmarkEnd w:id="4"/>
      <w:r w:rsidDel="00000000" w:rsidR="00000000" w:rsidRPr="00000000">
        <w:rPr>
          <w:rFonts w:ascii="Times New Roman" w:cs="Times New Roman" w:eastAsia="Times New Roman" w:hAnsi="Times New Roman"/>
          <w:sz w:val="24"/>
          <w:szCs w:val="24"/>
          <w:rtl w:val="0"/>
        </w:rPr>
        <w:t xml:space="preserve">Bruins in Finance and Banking (BFB) is the premier pre-professional student organization focused on preparing members for careers in financial services. Based at the University of California, Los Angeles (UCLA), BFB has over 40 active members focused on pursuing investment banking, wealth management, financial consulting, and more. </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our diverse professional knowledge, we offer financial consulting services to bring lasting impact to varied organizations. Tapping into the exclusive perspectives of UCLA’s student body, clients benefit from a comprehensive approach to overcoming challenges and identifying opportunities. We offer consulting services including investment analysis, economic research, quantitative finance, and other related services tailored to client needs. With a commitment to serving our community, we deliver data-driven insights and actionable strategies to fulfill our clients’ goals.</w:t>
      </w:r>
      <w:r w:rsidDel="00000000" w:rsidR="00000000" w:rsidRPr="00000000">
        <w:rPr>
          <w:rtl w:val="0"/>
        </w:rPr>
      </w:r>
    </w:p>
    <w:p w:rsidR="00000000" w:rsidDel="00000000" w:rsidP="00000000" w:rsidRDefault="00000000" w:rsidRPr="00000000" w14:paraId="00000025">
      <w:pPr>
        <w:spacing w:line="25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 and Objectives of the Project</w:t>
      </w:r>
    </w:p>
    <w:p w:rsidR="00000000" w:rsidDel="00000000" w:rsidP="00000000" w:rsidRDefault="00000000" w:rsidRPr="00000000" w14:paraId="00000026">
      <w:pPr>
        <w:spacing w:line="25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Schwab is seeking to better educate its clients on investments in commodities, futures, and structured notes. Given the complexities of these products, clients who are eager to explore alternative investment options may need further guidance in order to make appropriate choices for their portfolios and financial goals. As such, Charles Schwab has engaged BFB to conduct research and create a presentation that synthesizes insights about the products in a way such that Charles Schwab’s clients can better understand them despite their complexity.</w:t>
      </w: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spacing w:after="200" w:before="480" w:line="276" w:lineRule="auto"/>
        <w:rPr>
          <w:rFonts w:ascii="Times New Roman" w:cs="Times New Roman" w:eastAsia="Times New Roman" w:hAnsi="Times New Roman"/>
          <w:b w:val="1"/>
          <w:bCs w:val="1"/>
          <w:sz w:val="28"/>
          <w:szCs w:val="28"/>
        </w:rPr>
      </w:pPr>
      <w:bookmarkStart w:colFirst="0" w:colLast="0" w:name="_yawlg6qf6she" w:id="5"/>
      <w:bookmarkEnd w:id="5"/>
      <w:r w:rsidDel="00000000" w:rsidR="00000000" w:rsidRPr="00000000">
        <w:rPr>
          <w:rFonts w:ascii="Times New Roman" w:cs="Times New Roman" w:eastAsia="Times New Roman" w:hAnsi="Times New Roman"/>
          <w:b w:val="1"/>
          <w:bCs w:val="1"/>
          <w:sz w:val="28"/>
          <w:szCs w:val="28"/>
          <w:rtl w:val="0"/>
        </w:rPr>
        <w:t xml:space="preserve">II. Scope of Work</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BFB team will be expected to conduct detailed research to aid in the education of high-net-worth clients on investments in commodities and futures, such that Charles Schwab can fully demystify these alternative investments to its clients. </w:t>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Commodities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What is a commodity and what are examples of it?</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 and Pricing</w:t>
      </w:r>
      <w:r w:rsidDel="00000000" w:rsidR="00000000" w:rsidRPr="00000000">
        <w:rPr>
          <w:rFonts w:ascii="Times New Roman" w:cs="Times New Roman" w:eastAsia="Times New Roman" w:hAnsi="Times New Roman"/>
          <w:sz w:val="24"/>
          <w:szCs w:val="24"/>
          <w:rtl w:val="0"/>
        </w:rPr>
        <w:t xml:space="preserve">: How are commodities priced in the markets?</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Investment Rationale</w:t>
      </w:r>
      <w:r w:rsidDel="00000000" w:rsidR="00000000" w:rsidRPr="00000000">
        <w:rPr>
          <w:rFonts w:ascii="Times New Roman" w:cs="Times New Roman" w:eastAsia="Times New Roman" w:hAnsi="Times New Roman"/>
          <w:sz w:val="24"/>
          <w:szCs w:val="24"/>
          <w:rtl w:val="0"/>
        </w:rPr>
        <w:t xml:space="preserve">: Why invest in commodities?</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Trends</w:t>
      </w:r>
      <w:r w:rsidDel="00000000" w:rsidR="00000000" w:rsidRPr="00000000">
        <w:rPr>
          <w:rFonts w:ascii="Times New Roman" w:cs="Times New Roman" w:eastAsia="Times New Roman" w:hAnsi="Times New Roman"/>
          <w:sz w:val="24"/>
          <w:szCs w:val="24"/>
          <w:rtl w:val="0"/>
        </w:rPr>
        <w:t xml:space="preserve">: What relevant macroeconomic and market trends are commodities sensitive to?</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Risks: </w:t>
      </w:r>
      <w:r w:rsidDel="00000000" w:rsidR="00000000" w:rsidRPr="00000000">
        <w:rPr>
          <w:rFonts w:ascii="Times New Roman" w:cs="Times New Roman" w:eastAsia="Times New Roman" w:hAnsi="Times New Roman"/>
          <w:sz w:val="24"/>
          <w:szCs w:val="24"/>
          <w:rtl w:val="0"/>
        </w:rPr>
        <w:t xml:space="preserve">What risks are there when investing in commodities?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Futures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What are futures?</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Pricing</w:t>
      </w:r>
      <w:r w:rsidDel="00000000" w:rsidR="00000000" w:rsidRPr="00000000">
        <w:rPr>
          <w:rFonts w:ascii="Times New Roman" w:cs="Times New Roman" w:eastAsia="Times New Roman" w:hAnsi="Times New Roman"/>
          <w:sz w:val="24"/>
          <w:szCs w:val="24"/>
          <w:rtl w:val="0"/>
        </w:rPr>
        <w:t xml:space="preserve">: How are futures priced? </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Investment Rationale</w:t>
      </w:r>
      <w:r w:rsidDel="00000000" w:rsidR="00000000" w:rsidRPr="00000000">
        <w:rPr>
          <w:rFonts w:ascii="Times New Roman" w:cs="Times New Roman" w:eastAsia="Times New Roman" w:hAnsi="Times New Roman"/>
          <w:sz w:val="24"/>
          <w:szCs w:val="24"/>
          <w:rtl w:val="0"/>
        </w:rPr>
        <w:t xml:space="preserve">: Why invest in futures?</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Trends</w:t>
      </w:r>
      <w:r w:rsidDel="00000000" w:rsidR="00000000" w:rsidRPr="00000000">
        <w:rPr>
          <w:rFonts w:ascii="Times New Roman" w:cs="Times New Roman" w:eastAsia="Times New Roman" w:hAnsi="Times New Roman"/>
          <w:sz w:val="24"/>
          <w:szCs w:val="24"/>
          <w:rtl w:val="0"/>
        </w:rPr>
        <w:t xml:space="preserve">: What relevant macroeconomic and market trends affect futures the most?</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Risks: </w:t>
      </w:r>
      <w:r w:rsidDel="00000000" w:rsidR="00000000" w:rsidRPr="00000000">
        <w:rPr>
          <w:rFonts w:ascii="Times New Roman" w:cs="Times New Roman" w:eastAsia="Times New Roman" w:hAnsi="Times New Roman"/>
          <w:sz w:val="24"/>
          <w:szCs w:val="24"/>
          <w:rtl w:val="0"/>
        </w:rPr>
        <w:t xml:space="preserve">What are the most relevant risks in an investment in commodities?</w:t>
      </w:r>
      <w:r w:rsidDel="00000000" w:rsidR="00000000" w:rsidRPr="00000000">
        <w:rPr>
          <w:rtl w:val="0"/>
        </w:rPr>
      </w:r>
    </w:p>
    <w:p w:rsidR="00000000" w:rsidDel="00000000" w:rsidP="00000000" w:rsidRDefault="00000000" w:rsidRPr="00000000" w14:paraId="0000003C">
      <w:pPr>
        <w:pStyle w:val="Heading1"/>
        <w:spacing w:before="480" w:line="276" w:lineRule="auto"/>
        <w:rPr>
          <w:rFonts w:ascii="Times New Roman" w:cs="Times New Roman" w:eastAsia="Times New Roman" w:hAnsi="Times New Roman"/>
          <w:b w:val="1"/>
          <w:bCs w:val="1"/>
          <w:sz w:val="28"/>
          <w:szCs w:val="28"/>
        </w:rPr>
      </w:pPr>
      <w:bookmarkStart w:colFirst="0" w:colLast="0" w:name="_xz0s8asny9uc" w:id="6"/>
      <w:bookmarkEnd w:id="6"/>
      <w:r w:rsidDel="00000000" w:rsidR="00000000" w:rsidRPr="00000000">
        <w:rPr>
          <w:rFonts w:ascii="Times New Roman" w:cs="Times New Roman" w:eastAsia="Times New Roman" w:hAnsi="Times New Roman"/>
          <w:b w:val="1"/>
          <w:bCs w:val="1"/>
          <w:sz w:val="28"/>
          <w:szCs w:val="28"/>
          <w:rtl w:val="0"/>
        </w:rPr>
        <w:t xml:space="preserve">III.  Deliverables</w:t>
      </w:r>
    </w:p>
    <w:p w:rsidR="00000000" w:rsidDel="00000000" w:rsidP="00000000" w:rsidRDefault="00000000" w:rsidRPr="00000000" w14:paraId="0000003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this project, BFB will ensure the delivery of a final presentation in front of the Charles Schwab team summarizing all its findings throughout the entire project. This final deliverable should satisfy the scope of work and purpose of the project listed above. BFB, through its Project Managers, promises to uphold their responsibility by submitting these deliverables in both a professional and timely manner. </w:t>
      </w:r>
      <w:r w:rsidDel="00000000" w:rsidR="00000000" w:rsidRPr="00000000">
        <w:rPr>
          <w:rtl w:val="0"/>
        </w:rPr>
      </w:r>
    </w:p>
    <w:p w:rsidR="00000000" w:rsidDel="00000000" w:rsidP="00000000" w:rsidRDefault="00000000" w:rsidRPr="00000000" w14:paraId="0000003E">
      <w:pPr>
        <w:pStyle w:val="Heading1"/>
        <w:spacing w:before="480" w:line="276" w:lineRule="auto"/>
        <w:rPr>
          <w:rFonts w:ascii="Times New Roman" w:cs="Times New Roman" w:eastAsia="Times New Roman" w:hAnsi="Times New Roman"/>
          <w:b w:val="1"/>
          <w:bCs w:val="1"/>
          <w:sz w:val="28"/>
          <w:szCs w:val="28"/>
        </w:rPr>
      </w:pPr>
      <w:bookmarkStart w:colFirst="0" w:colLast="0" w:name="_grbxsmq7psqa" w:id="7"/>
      <w:bookmarkEnd w:id="7"/>
      <w:r w:rsidDel="00000000" w:rsidR="00000000" w:rsidRPr="00000000">
        <w:rPr>
          <w:rFonts w:ascii="Times New Roman" w:cs="Times New Roman" w:eastAsia="Times New Roman" w:hAnsi="Times New Roman"/>
          <w:b w:val="1"/>
          <w:bCs w:val="1"/>
          <w:sz w:val="28"/>
          <w:szCs w:val="28"/>
          <w:rtl w:val="0"/>
        </w:rPr>
        <w:t xml:space="preserve">IV.   Project Timeline</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span for a total of 6 weeks, with important benchmarks listed as below:</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2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335"/>
        <w:tblGridChange w:id="0">
          <w:tblGrid>
            <w:gridCol w:w="4905"/>
            <w:gridCol w:w="43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Project Phase</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w:t>
            </w:r>
            <w:r w:rsidDel="00000000" w:rsidR="00000000" w:rsidRPr="00000000">
              <w:rPr>
                <w:rFonts w:ascii="Times New Roman" w:cs="Times New Roman" w:eastAsia="Times New Roman" w:hAnsi="Times New Roman"/>
                <w:b w:val="1"/>
                <w:bCs w:val="1"/>
                <w:sz w:val="24"/>
                <w:szCs w:val="24"/>
                <w:rtl w:val="0"/>
              </w:rPr>
              <w:t xml:space="preserve">Timeline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Kick-off / First All-Hand Meeting </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(02/03/2026)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Project Check-In</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(02/23/2026)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Deliverable Submission</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 (03/9/2026)</w:t>
            </w:r>
          </w:p>
        </w:tc>
      </w:tr>
    </w:tbl>
    <w:p w:rsidR="00000000" w:rsidDel="00000000" w:rsidP="00000000" w:rsidRDefault="00000000" w:rsidRPr="00000000" w14:paraId="00000049">
      <w:pPr>
        <w:pStyle w:val="Heading1"/>
        <w:spacing w:after="0" w:before="480" w:line="276" w:lineRule="auto"/>
        <w:rPr/>
      </w:pPr>
      <w:bookmarkStart w:colFirst="0" w:colLast="0" w:name="_dhbeva9nmwa6" w:id="8"/>
      <w:bookmarkEnd w:id="8"/>
      <w:r w:rsidDel="00000000" w:rsidR="00000000" w:rsidRPr="00000000">
        <w:rPr>
          <w:rFonts w:ascii="Times New Roman" w:cs="Times New Roman" w:eastAsia="Times New Roman" w:hAnsi="Times New Roman"/>
          <w:sz w:val="24"/>
          <w:szCs w:val="24"/>
          <w:rtl w:val="0"/>
        </w:rPr>
        <w:t xml:space="preserve">BFB</w:t>
      </w:r>
      <w:r w:rsidDel="00000000" w:rsidR="00000000" w:rsidRPr="00000000">
        <w:rPr>
          <w:rFonts w:ascii="Times New Roman" w:cs="Times New Roman" w:eastAsia="Times New Roman" w:hAnsi="Times New Roman"/>
          <w:sz w:val="24"/>
          <w:szCs w:val="24"/>
          <w:rtl w:val="0"/>
        </w:rPr>
        <w:t xml:space="preserve"> and its Project Manager are responsible for keeping the project on track with the promised timeline. Any adjustment to the agreed-upon timeline must be communicated with Charles Schwab before being enacted. </w:t>
      </w:r>
      <w:r w:rsidDel="00000000" w:rsidR="00000000" w:rsidRPr="00000000">
        <w:rPr>
          <w:rtl w:val="0"/>
        </w:rPr>
      </w:r>
    </w:p>
    <w:p w:rsidR="00000000" w:rsidDel="00000000" w:rsidP="00000000" w:rsidRDefault="00000000" w:rsidRPr="00000000" w14:paraId="0000004A">
      <w:pPr>
        <w:pStyle w:val="Heading1"/>
        <w:spacing w:before="480" w:line="276" w:lineRule="auto"/>
        <w:rPr>
          <w:rFonts w:ascii="Times New Roman" w:cs="Times New Roman" w:eastAsia="Times New Roman" w:hAnsi="Times New Roman"/>
          <w:b w:val="1"/>
          <w:bCs w:val="1"/>
          <w:sz w:val="28"/>
          <w:szCs w:val="28"/>
        </w:rPr>
      </w:pPr>
      <w:bookmarkStart w:colFirst="0" w:colLast="0" w:name="_b5up3fkzac66" w:id="9"/>
      <w:bookmarkEnd w:id="9"/>
      <w:r w:rsidDel="00000000" w:rsidR="00000000" w:rsidRPr="00000000">
        <w:rPr>
          <w:rFonts w:ascii="Times New Roman" w:cs="Times New Roman" w:eastAsia="Times New Roman" w:hAnsi="Times New Roman"/>
          <w:b w:val="1"/>
          <w:bCs w:val="1"/>
          <w:sz w:val="28"/>
          <w:szCs w:val="28"/>
          <w:rtl w:val="0"/>
        </w:rPr>
        <w:t xml:space="preserve">V.  Confidentiality and Compliances</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BFB</w:t>
      </w:r>
      <w:r w:rsidDel="00000000" w:rsidR="00000000" w:rsidRPr="00000000">
        <w:rPr>
          <w:rFonts w:ascii="Times New Roman" w:cs="Times New Roman" w:eastAsia="Times New Roman" w:hAnsi="Times New Roman"/>
          <w:sz w:val="24"/>
          <w:szCs w:val="24"/>
          <w:rtl w:val="0"/>
        </w:rPr>
        <w:t xml:space="preserve"> and Charles Schwab’s team agree upon the definition of Confidential Information as any details and deliverables regarding the agreed-upon project. BFB shall hold and maintain the Confidential Information in the strictest confidence and shall not disclose Confidential Information to any third party without the prior written consent of Charles Schwab. Charles Schwab retains the right to use confidential Information upon its will as part of its business strategy. Further confidentiality provisions may be outlined in an agreed arrangement between BFB and Charles Schwab’s legal team. </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Signatures</w:t>
      </w:r>
    </w:p>
    <w:p w:rsidR="00000000" w:rsidDel="00000000" w:rsidP="00000000" w:rsidRDefault="00000000" w:rsidRPr="00000000" w14:paraId="0000004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this document Bruins in Finance and Banking (BFB) and Charles Schwab hereby confirm they agree with the above-stated statement of work for the proposed client project. Charles Schwab agrees to provide sufficient information for the successful completion of the statement of work by the BFB team and Project Manager, as well as a point of contact to maintain regular and timely communication. BFB hereby agrees to submit all deliverables related to the above statement of work in a professional and timely manner. </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w:t>
            </w:r>
          </w:p>
        </w:tc>
      </w:tr>
      <w:tr>
        <w:trPr>
          <w:cantSplit w:val="0"/>
          <w:trHeight w:val="425.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Whitmoyer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Garlick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BFB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Wealth Management Analyst, Charles Schwab</w:t>
            </w:r>
          </w:p>
        </w:tc>
      </w:tr>
    </w:tbl>
    <w:p w:rsidR="00000000" w:rsidDel="00000000" w:rsidP="00000000" w:rsidRDefault="00000000" w:rsidRPr="00000000" w14:paraId="00000059">
      <w:pPr>
        <w:spacing w:line="276" w:lineRule="auto"/>
        <w:rPr/>
      </w:pPr>
      <w:r w:rsidDel="00000000" w:rsidR="00000000" w:rsidRPr="00000000">
        <w:rPr>
          <w:rtl w:val="0"/>
        </w:rPr>
      </w:r>
    </w:p>
    <w:sectPr>
      <w:headerReference r:id="rId7" w:type="default"/>
      <w:footerReference r:id="rId8" w:type="default"/>
      <w:footerReference r:id="rId9" w:type="first"/>
      <w:pgSz w:h="15840" w:w="12240" w:orient="portrait"/>
      <w:pgMar w:bottom="720" w:top="72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widowControl w:val="0"/>
      <w:spacing w:line="240" w:lineRule="auto"/>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Bruins in Finance and Banking</w:t>
      <w:tab/>
      <w:tab/>
      <w:tab/>
      <w:tab/>
      <w:tab/>
      <w:tab/>
      <w:tab/>
      <w:tab/>
      <w:tab/>
      <w:t xml:space="preserve">    </w:t>
    </w:r>
    <w:r w:rsidDel="00000000" w:rsidR="00000000" w:rsidRPr="00000000">
      <w:rPr>
        <w:rFonts w:ascii="Times New Roman" w:cs="Times New Roman" w:eastAsia="Times New Roman" w:hAnsi="Times New Roman"/>
        <w:rtl w:val="0"/>
      </w:rPr>
      <w:t xml:space="preserve">x</w:t>
    </w:r>
    <w:r w:rsidDel="00000000" w:rsidR="00000000" w:rsidRPr="00000000">
      <w:drawing>
        <wp:anchor allowOverlap="1" behindDoc="1" distB="114300" distT="114300" distL="114300" distR="114300" hidden="0" layoutInCell="1" locked="0" relativeHeight="0" simplePos="0">
          <wp:simplePos x="0" y="0"/>
          <wp:positionH relativeFrom="column">
            <wp:posOffset>5133975</wp:posOffset>
          </wp:positionH>
          <wp:positionV relativeFrom="paragraph">
            <wp:posOffset>-219074</wp:posOffset>
          </wp:positionV>
          <wp:extent cx="441683" cy="547688"/>
          <wp:effectExtent b="0" l="0" r="0" t="0"/>
          <wp:wrapNone/>
          <wp:docPr id="1" name="image1.png"/>
          <a:graphic>
            <a:graphicData uri="http://schemas.openxmlformats.org/drawingml/2006/picture">
              <pic:pic>
                <pic:nvPicPr>
                  <pic:cNvPr id="0" name="image1.png"/>
                  <pic:cNvPicPr preferRelativeResize="0"/>
                </pic:nvPicPr>
                <pic:blipFill>
                  <a:blip r:embed="rId1"/>
                  <a:srcRect b="6604" l="0" r="0" t="0"/>
                  <a:stretch>
                    <a:fillRect/>
                  </a:stretch>
                </pic:blipFill>
                <pic:spPr>
                  <a:xfrm>
                    <a:off x="0" y="0"/>
                    <a:ext cx="441683" cy="5476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-219074</wp:posOffset>
          </wp:positionV>
          <wp:extent cx="547688" cy="547688"/>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47688" cy="547688"/>
                  </a:xfrm>
                  <a:prstGeom prst="rect"/>
                  <a:ln/>
                </pic:spPr>
              </pic:pic>
            </a:graphicData>
          </a:graphic>
        </wp:anchor>
      </w:drawing>
    </w:r>
  </w:p>
  <w:p w:rsidR="00000000" w:rsidDel="00000000" w:rsidP="00000000" w:rsidRDefault="00000000" w:rsidRPr="00000000" w14:paraId="0000005B">
    <w:pPr>
      <w:widowControl w:val="0"/>
      <w:spacing w:line="240" w:lineRule="auto"/>
      <w:ind w:left="-540" w:firstLine="0"/>
      <w:rPr/>
    </w:pPr>
    <w:r w:rsidDel="00000000" w:rsidR="00000000" w:rsidRPr="00000000">
      <w:rPr>
        <w:rFonts w:ascii="Times New Roman" w:cs="Times New Roman" w:eastAsia="Times New Roman" w:hAnsi="Times New Roman"/>
        <w:b w:val="1"/>
        <w:bCs w:val="1"/>
        <w:rtl w:val="0"/>
      </w:rPr>
      <w:t xml:space="preserve">Statement of Work -</w:t>
    </w:r>
    <w:r w:rsidDel="00000000" w:rsidR="00000000" w:rsidRPr="00000000">
      <w:rPr>
        <w:rFonts w:ascii="Times New Roman" w:cs="Times New Roman" w:eastAsia="Times New Roman" w:hAnsi="Times New Roman"/>
        <w:b w:val="1"/>
        <w:bCs w:val="1"/>
        <w:rtl w:val="0"/>
      </w:rPr>
      <w:t xml:space="preserve"> 2/2/2026</w:t>
    </w:r>
    <w:r w:rsidDel="00000000" w:rsidR="00000000" w:rsidRPr="00000000">
      <w:rPr>
        <w:rtl w:val="0"/>
      </w:rPr>
    </w:r>
  </w:p>
  <w:p w:rsidR="00000000" w:rsidDel="00000000" w:rsidP="00000000" w:rsidRDefault="00000000" w:rsidRPr="00000000" w14:paraId="0000005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pXMu1uVDi-1nuHRBQtcuCquytn2XUFR/edit#heading=h.4oxyr65nkorh" TargetMode="Externa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