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Select this sentence and press the Bold button above.</w:t>
      </w:r>
    </w:p>
    <w:p>
      <w:r>
        <w:t xml:space="preserve">The button is part of this documentation page, not part of SuperDoc. It reads whether it can run from the editor, and runs through it.</w:t>
      </w:r>
    </w:p>
    <w:p>
      <w:r>
        <w:t xml:space="preserve">Everything else here — the page, the text, the selection you just made — is SuperDoc rendering a real DOCX file.</w:t>
      </w:r>
    </w:p>
    <w:sectPr>
      <w:pgSz w:w="12240" w:h="6480"/>
      <w:pgMar w:top="720" w:right="1080" w:bottom="720" w:left="108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32"/>
        <w:szCs w:val="3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SuperDoc</Application>
  <Company/>
  <Manager/>
  <Template/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dc:description/>
  <cp:lastModifiedBy/>
  <cp:revision>1</cp:revision>
  <dcterms:created xsi:type="dcterms:W3CDTF">2025-01-15T00:00:00Z</dcterms:created>
  <dcterms:modified xsi:type="dcterms:W3CDTF">2025-01-15T00:00:00Z</dcterms:modified>
  <cp:category/>
</cp:coreProperties>
</file>