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E40FF" w14:textId="6A2F3A7B" w:rsidR="00505C77" w:rsidRPr="00E870C3" w:rsidRDefault="00A36C87" w:rsidP="00A36C87">
      <w:pPr>
        <w:pStyle w:val="1"/>
        <w:jc w:val="center"/>
        <w:rPr>
          <w:rFonts w:cs="Guttman Drogolin"/>
          <w:b/>
          <w:bCs/>
          <w:color w:val="auto"/>
          <w:sz w:val="26"/>
          <w:szCs w:val="26"/>
          <w:rtl/>
        </w:rPr>
      </w:pPr>
      <w:r>
        <w:rPr>
          <w:rFonts w:cs="Guttman Drogolin" w:hint="cs"/>
          <w:b/>
          <w:bCs/>
          <w:color w:val="auto"/>
          <w:sz w:val="26"/>
          <w:szCs w:val="26"/>
          <w:rtl/>
        </w:rPr>
        <w:t>ש</w:t>
      </w:r>
      <w:r w:rsidR="00505C77" w:rsidRPr="00E870C3">
        <w:rPr>
          <w:rFonts w:cs="Guttman Drogolin" w:hint="cs"/>
          <w:b/>
          <w:bCs/>
          <w:color w:val="auto"/>
          <w:sz w:val="26"/>
          <w:szCs w:val="26"/>
          <w:rtl/>
        </w:rPr>
        <w:t>בועת הדיינין</w:t>
      </w:r>
    </w:p>
    <w:p w14:paraId="4BE9CFBC" w14:textId="77777777" w:rsidR="00E870C3" w:rsidRPr="00E870C3" w:rsidRDefault="00E870C3" w:rsidP="00E870C3">
      <w:pPr>
        <w:rPr>
          <w:rStyle w:val="af2"/>
          <w:rtl/>
        </w:rPr>
        <w:sectPr w:rsidR="00E870C3" w:rsidRPr="00E870C3" w:rsidSect="00376EC0">
          <w:footnotePr>
            <w:numFmt w:val="hebrew1"/>
          </w:footnotePr>
          <w:pgSz w:w="11906" w:h="16838"/>
          <w:pgMar w:top="1440" w:right="1800" w:bottom="1440" w:left="1800" w:header="708" w:footer="708" w:gutter="0"/>
          <w:cols w:space="708"/>
          <w:bidi/>
          <w:rtlGutter/>
          <w:docGrid w:linePitch="360"/>
          <w15:footnoteColumns w:val="1"/>
        </w:sectPr>
      </w:pPr>
    </w:p>
    <w:p w14:paraId="2FFC2A9E" w14:textId="59D7A1D0" w:rsidR="00376EC0" w:rsidRPr="00E870C3" w:rsidRDefault="00D64A26" w:rsidP="00A36C87">
      <w:pPr>
        <w:spacing w:after="172"/>
        <w:jc w:val="distribute"/>
        <w:rPr>
          <w:rFonts w:ascii="FrankRuehl" w:hAnsi="FrankRuehl" w:cs="FrankRuehl"/>
          <w:sz w:val="26"/>
          <w:szCs w:val="26"/>
          <w:rtl/>
        </w:rPr>
      </w:pPr>
      <w:r w:rsidRPr="00E870C3">
        <w:rPr>
          <w:rStyle w:val="af2"/>
          <w:rFonts w:hint="cs"/>
          <w:rtl/>
        </w:rPr>
        <w:t>שבועת</w:t>
      </w:r>
      <w:r w:rsidRPr="00E870C3">
        <w:rPr>
          <w:rFonts w:ascii="FrankRuehl" w:hAnsi="FrankRuehl" w:cs="FrankRuehl"/>
          <w:sz w:val="26"/>
          <w:szCs w:val="26"/>
          <w:rtl/>
        </w:rPr>
        <w:t xml:space="preserve"> הדיינין, וביאר רש"י (ד"ה שבועת </w:t>
      </w:r>
      <w:r w:rsidR="00E870C3">
        <w:rPr>
          <w:rFonts w:ascii="FrankRuehl" w:hAnsi="FrankRuehl" w:cs="FrankRuehl"/>
          <w:sz w:val="26"/>
          <w:szCs w:val="26"/>
          <w:rtl/>
        </w:rPr>
        <w:br/>
      </w:r>
      <w:r w:rsidR="00E870C3" w:rsidRPr="00E870C3">
        <w:rPr>
          <w:rFonts w:ascii="FrankRuehl" w:hAnsi="FrankRuehl" w:cs="FrankRuehl"/>
          <w:spacing w:val="790"/>
          <w:sz w:val="26"/>
          <w:szCs w:val="26"/>
          <w:rtl/>
        </w:rPr>
        <w:t> </w:t>
      </w:r>
      <w:r w:rsidRPr="00E870C3">
        <w:rPr>
          <w:rFonts w:ascii="FrankRuehl" w:hAnsi="FrankRuehl" w:cs="FrankRuehl"/>
          <w:sz w:val="26"/>
          <w:szCs w:val="26"/>
          <w:rtl/>
        </w:rPr>
        <w:t xml:space="preserve">הדיינין) "שהדיינים משביעין ע"י הודאת מקצת הטענה", מבואר א"כ בדברי המשנה ששבועת הדיינין היא דווקא שבועת מודה במקצת, </w:t>
      </w:r>
      <w:r w:rsidR="00D63A79" w:rsidRPr="00E870C3">
        <w:rPr>
          <w:rFonts w:ascii="FrankRuehl" w:hAnsi="FrankRuehl" w:cs="FrankRuehl"/>
          <w:sz w:val="26"/>
          <w:szCs w:val="26"/>
          <w:rtl/>
        </w:rPr>
        <w:t>וצ"ע שהרי כל השבועות הם שבועות שהדיינים משביעים אותו, וגם שבועת ע"א ושבועת ה</w:t>
      </w:r>
      <w:r w:rsidR="00E870C3" w:rsidRPr="00E870C3">
        <w:rPr>
          <w:rFonts w:ascii="FrankRuehl" w:hAnsi="FrankRuehl" w:cs="FrankRuehl"/>
          <w:sz w:val="26"/>
          <w:szCs w:val="26"/>
          <w:rtl/>
        </w:rPr>
        <w:t>ש</w:t>
      </w:r>
      <w:r w:rsidR="00D63A79" w:rsidRPr="00E870C3">
        <w:rPr>
          <w:rFonts w:ascii="FrankRuehl" w:hAnsi="FrankRuehl" w:cs="FrankRuehl"/>
          <w:sz w:val="26"/>
          <w:szCs w:val="26"/>
          <w:rtl/>
        </w:rPr>
        <w:t>ומרים, ומדוע דווקא שבועת מודה במקצת נחשבת לשבועת הדיינים.</w:t>
      </w:r>
      <w:r w:rsidR="00E870C3">
        <w:rPr>
          <w:rFonts w:ascii="FrankRuehl" w:hAnsi="FrankRuehl" w:cs="FrankRuehl"/>
          <w:sz w:val="26"/>
          <w:szCs w:val="26"/>
          <w:rtl/>
        </w:rPr>
        <w:tab/>
      </w:r>
    </w:p>
    <w:p w14:paraId="2EA050CA" w14:textId="7EE42D81" w:rsidR="00E870C3" w:rsidRPr="00E870C3" w:rsidRDefault="00E870C3" w:rsidP="00A36C87">
      <w:pPr>
        <w:pStyle w:val="2"/>
        <w:spacing w:after="92"/>
        <w:rPr>
          <w:rtl/>
        </w:rPr>
      </w:pPr>
      <w:r w:rsidRPr="00E870C3">
        <w:rPr>
          <w:rFonts w:hint="cs"/>
          <w:rtl/>
        </w:rPr>
        <w:t>הטעם שדווקא שבועת מודה במקצת נחשב לשבועת הדיינין</w:t>
      </w:r>
    </w:p>
    <w:p w14:paraId="12692FDD" w14:textId="40678639" w:rsidR="00D63A79" w:rsidRPr="00E870C3" w:rsidRDefault="00D63A79" w:rsidP="00A36C87">
      <w:pPr>
        <w:spacing w:after="172"/>
        <w:jc w:val="distribute"/>
        <w:rPr>
          <w:rFonts w:ascii="FrankRuehl" w:hAnsi="FrankRuehl" w:cs="FrankRuehl"/>
          <w:sz w:val="26"/>
          <w:szCs w:val="26"/>
          <w:rtl/>
        </w:rPr>
      </w:pPr>
      <w:r w:rsidRPr="00E870C3">
        <w:rPr>
          <w:rStyle w:val="af2"/>
          <w:rFonts w:hint="cs"/>
          <w:rtl/>
        </w:rPr>
        <w:t>וביארו</w:t>
      </w:r>
      <w:r w:rsidRPr="00E870C3">
        <w:rPr>
          <w:rFonts w:ascii="FrankRuehl" w:hAnsi="FrankRuehl" w:cs="FrankRuehl" w:hint="cs"/>
          <w:sz w:val="26"/>
          <w:szCs w:val="26"/>
          <w:rtl/>
        </w:rPr>
        <w:t xml:space="preserve"> הראשונים (רמב"ן רשב"א) ששבועת </w:t>
      </w:r>
      <w:r w:rsidR="00E870C3">
        <w:rPr>
          <w:rFonts w:ascii="FrankRuehl" w:hAnsi="FrankRuehl" w:cs="FrankRuehl"/>
          <w:sz w:val="26"/>
          <w:szCs w:val="26"/>
          <w:rtl/>
        </w:rPr>
        <w:br/>
      </w:r>
      <w:r w:rsidR="00E870C3" w:rsidRPr="00E870C3">
        <w:rPr>
          <w:rFonts w:ascii="FrankRuehl" w:hAnsi="FrankRuehl" w:cs="FrankRuehl"/>
          <w:spacing w:val="690"/>
          <w:sz w:val="26"/>
          <w:szCs w:val="26"/>
          <w:rtl/>
        </w:rPr>
        <w:t> </w:t>
      </w:r>
      <w:r w:rsidRPr="00E870C3">
        <w:rPr>
          <w:rFonts w:ascii="FrankRuehl" w:hAnsi="FrankRuehl" w:cs="FrankRuehl" w:hint="cs"/>
          <w:sz w:val="26"/>
          <w:szCs w:val="26"/>
          <w:rtl/>
        </w:rPr>
        <w:t>השומרים שם אחר יש לה, שהרי נקראת שבועת השומרים או הפקדון, וכן ע"א כיון שלא נכתבה בהדיא, אלא ילפינן ל</w:t>
      </w:r>
      <w:r w:rsidR="009F5A99" w:rsidRPr="00E870C3">
        <w:rPr>
          <w:rFonts w:ascii="FrankRuehl" w:hAnsi="FrankRuehl" w:cs="FrankRuehl" w:hint="cs"/>
          <w:sz w:val="26"/>
          <w:szCs w:val="26"/>
          <w:rtl/>
        </w:rPr>
        <w:t>ה</w:t>
      </w:r>
      <w:r w:rsidR="009F5A99" w:rsidRPr="00E870C3">
        <w:rPr>
          <w:rStyle w:val="af0"/>
          <w:rFonts w:ascii="FrankRuehl" w:hAnsi="FrankRuehl" w:cs="FrankRuehl"/>
          <w:sz w:val="26"/>
          <w:szCs w:val="26"/>
          <w:rtl/>
        </w:rPr>
        <w:footnoteReference w:id="1"/>
      </w:r>
      <w:r w:rsidR="00D471FB" w:rsidRPr="00E870C3">
        <w:rPr>
          <w:rFonts w:ascii="FrankRuehl" w:hAnsi="FrankRuehl" w:cs="FrankRuehl" w:hint="cs"/>
          <w:sz w:val="26"/>
          <w:szCs w:val="26"/>
          <w:rtl/>
        </w:rPr>
        <w:t>, וכיון דהכי שבועת הדיינין בסתמא היא דווקא שבועת מודה במקצת, אמנם נראה מדבריהם שאין כל נפק"מ בזה שהיא הנחשבת לשבועת הדיינן, וכל דבריהם לא באו אלא לפרש לשון המשנה.</w:t>
      </w:r>
      <w:r w:rsidR="00E870C3">
        <w:rPr>
          <w:rFonts w:ascii="FrankRuehl" w:hAnsi="FrankRuehl" w:cs="FrankRuehl"/>
          <w:sz w:val="26"/>
          <w:szCs w:val="26"/>
          <w:rtl/>
        </w:rPr>
        <w:tab/>
      </w:r>
    </w:p>
    <w:p w14:paraId="057B9940" w14:textId="1597BE19" w:rsidR="00E870C3" w:rsidRPr="00E870C3" w:rsidRDefault="00E870C3" w:rsidP="00A36C87">
      <w:pPr>
        <w:pStyle w:val="3"/>
        <w:spacing w:after="92"/>
        <w:rPr>
          <w:rtl/>
        </w:rPr>
      </w:pPr>
      <w:r w:rsidRPr="00E870C3">
        <w:rPr>
          <w:rFonts w:hint="cs"/>
          <w:rtl/>
        </w:rPr>
        <w:t>הנפק"מ מה נחשב לשבועת הדיינין</w:t>
      </w:r>
    </w:p>
    <w:p w14:paraId="49A41846" w14:textId="5E95147E" w:rsidR="00D471FB" w:rsidRPr="00E870C3" w:rsidRDefault="00D471FB" w:rsidP="00A36C87">
      <w:pPr>
        <w:spacing w:after="172"/>
        <w:jc w:val="distribute"/>
        <w:rPr>
          <w:rFonts w:ascii="FrankRuehl" w:hAnsi="FrankRuehl" w:cs="FrankRuehl"/>
          <w:sz w:val="26"/>
          <w:szCs w:val="26"/>
          <w:rtl/>
        </w:rPr>
      </w:pPr>
      <w:r w:rsidRPr="00E870C3">
        <w:rPr>
          <w:rStyle w:val="af2"/>
          <w:rFonts w:hint="cs"/>
          <w:rtl/>
        </w:rPr>
        <w:t>וברמב"ם</w:t>
      </w:r>
      <w:r w:rsidRPr="00E870C3">
        <w:rPr>
          <w:rFonts w:ascii="FrankRuehl" w:hAnsi="FrankRuehl" w:cs="FrankRuehl" w:hint="cs"/>
          <w:sz w:val="26"/>
          <w:szCs w:val="26"/>
          <w:rtl/>
        </w:rPr>
        <w:t xml:space="preserve"> (</w:t>
      </w:r>
      <w:hyperlink r:id="rId7" w:history="1">
        <w:r w:rsidRPr="00E870C3">
          <w:rPr>
            <w:rStyle w:val="Hyperlink"/>
            <w:rFonts w:ascii="FrankRuehl" w:hAnsi="FrankRuehl" w:cs="FrankRuehl" w:hint="cs"/>
            <w:sz w:val="26"/>
            <w:szCs w:val="26"/>
            <w:u w:val="none"/>
            <w:rtl/>
          </w:rPr>
          <w:t>פי"א משבועות</w:t>
        </w:r>
      </w:hyperlink>
      <w:r w:rsidRPr="00E870C3">
        <w:rPr>
          <w:rFonts w:ascii="FrankRuehl" w:hAnsi="FrankRuehl" w:cs="FrankRuehl" w:hint="cs"/>
          <w:sz w:val="26"/>
          <w:szCs w:val="26"/>
          <w:rtl/>
        </w:rPr>
        <w:t>)</w:t>
      </w:r>
      <w:r w:rsidR="003F275C" w:rsidRPr="00E870C3">
        <w:rPr>
          <w:rFonts w:ascii="FrankRuehl" w:hAnsi="FrankRuehl" w:cs="FrankRuehl" w:hint="cs"/>
          <w:sz w:val="26"/>
          <w:szCs w:val="26"/>
          <w:rtl/>
        </w:rPr>
        <w:t xml:space="preserve"> כתב שיש נפק"מ </w:t>
      </w:r>
      <w:r w:rsidR="00E870C3">
        <w:rPr>
          <w:rFonts w:ascii="FrankRuehl" w:hAnsi="FrankRuehl" w:cs="FrankRuehl"/>
          <w:sz w:val="26"/>
          <w:szCs w:val="26"/>
          <w:rtl/>
        </w:rPr>
        <w:br/>
      </w:r>
      <w:r w:rsidR="00E870C3" w:rsidRPr="00E870C3">
        <w:rPr>
          <w:rFonts w:ascii="FrankRuehl" w:hAnsi="FrankRuehl" w:cs="FrankRuehl"/>
          <w:spacing w:val="960"/>
          <w:sz w:val="26"/>
          <w:szCs w:val="26"/>
          <w:rtl/>
        </w:rPr>
        <w:t> </w:t>
      </w:r>
      <w:r w:rsidR="003F275C" w:rsidRPr="00E870C3">
        <w:rPr>
          <w:rFonts w:ascii="FrankRuehl" w:hAnsi="FrankRuehl" w:cs="FrankRuehl" w:hint="cs"/>
          <w:sz w:val="26"/>
          <w:szCs w:val="26"/>
          <w:rtl/>
        </w:rPr>
        <w:t xml:space="preserve">האם שבועה היא נחשבת שבועת הדיינין או שאינה נחשבת לשבועת הדיינין, ובדבריו ביאר ששבועת הדיינין צריכה נקיטת חפץ, עיי"ש בדבריו, ובכמו שביארנו נראה שאין כוונת הראשונים לחלוק על דבריו, אלא רק לבאר מדוע לשון המשנה שבועת הדיינין היא דווקא על שבועת </w:t>
      </w:r>
      <w:r w:rsidR="0019743D" w:rsidRPr="00E870C3">
        <w:rPr>
          <w:rFonts w:ascii="FrankRuehl" w:hAnsi="FrankRuehl" w:cs="FrankRuehl" w:hint="cs"/>
          <w:sz w:val="26"/>
          <w:szCs w:val="26"/>
          <w:rtl/>
        </w:rPr>
        <w:t>מודה במקצת.</w:t>
      </w:r>
      <w:r w:rsidR="00E870C3">
        <w:rPr>
          <w:rFonts w:ascii="FrankRuehl" w:hAnsi="FrankRuehl" w:cs="FrankRuehl"/>
          <w:sz w:val="26"/>
          <w:szCs w:val="26"/>
          <w:rtl/>
        </w:rPr>
        <w:tab/>
      </w:r>
    </w:p>
    <w:p w14:paraId="7187ED8D" w14:textId="7DC9D0C3" w:rsidR="00E870C3" w:rsidRPr="00E870C3" w:rsidRDefault="00E870C3" w:rsidP="00A36C87">
      <w:pPr>
        <w:pStyle w:val="2"/>
        <w:spacing w:after="92"/>
        <w:rPr>
          <w:rtl/>
        </w:rPr>
      </w:pPr>
      <w:r w:rsidRPr="00E870C3">
        <w:rPr>
          <w:rFonts w:hint="cs"/>
          <w:rtl/>
        </w:rPr>
        <w:t>דברי התוס' בחילוק בין שבועת הדיינין לשאר שבועות</w:t>
      </w:r>
    </w:p>
    <w:p w14:paraId="7DE11D74" w14:textId="1840132C" w:rsidR="0019743D" w:rsidRPr="00E870C3" w:rsidRDefault="00C80EF0" w:rsidP="00A36C87">
      <w:pPr>
        <w:spacing w:after="289"/>
        <w:jc w:val="distribute"/>
        <w:rPr>
          <w:rFonts w:ascii="FrankRuehl" w:hAnsi="FrankRuehl" w:cs="FrankRuehl"/>
          <w:sz w:val="26"/>
          <w:szCs w:val="26"/>
          <w:rtl/>
        </w:rPr>
      </w:pPr>
      <w:r w:rsidRPr="00E870C3">
        <w:rPr>
          <w:rStyle w:val="af2"/>
          <w:rFonts w:hint="cs"/>
          <w:rtl/>
        </w:rPr>
        <w:t>והקשו</w:t>
      </w:r>
      <w:r w:rsidRPr="00E870C3">
        <w:rPr>
          <w:rFonts w:ascii="FrankRuehl" w:hAnsi="FrankRuehl" w:cs="FrankRuehl" w:hint="cs"/>
          <w:sz w:val="26"/>
          <w:szCs w:val="26"/>
          <w:rtl/>
        </w:rPr>
        <w:t xml:space="preserve"> התוס' </w:t>
      </w:r>
      <w:r w:rsidR="00113825" w:rsidRPr="00E870C3">
        <w:rPr>
          <w:rFonts w:ascii="FrankRuehl" w:hAnsi="FrankRuehl" w:cs="FrankRuehl" w:hint="cs"/>
          <w:sz w:val="26"/>
          <w:szCs w:val="26"/>
          <w:rtl/>
        </w:rPr>
        <w:t>"</w:t>
      </w:r>
      <w:r w:rsidR="00113825" w:rsidRPr="00E870C3">
        <w:rPr>
          <w:rFonts w:ascii="FrankRuehl" w:hAnsi="FrankRuehl" w:cs="FrankRuehl"/>
          <w:sz w:val="26"/>
          <w:szCs w:val="26"/>
          <w:rtl/>
        </w:rPr>
        <w:t xml:space="preserve">תימה דבשבועת העדות וביטוי </w:t>
      </w:r>
      <w:r w:rsidR="00E870C3">
        <w:rPr>
          <w:rFonts w:ascii="FrankRuehl" w:hAnsi="FrankRuehl" w:cs="FrankRuehl"/>
          <w:sz w:val="26"/>
          <w:szCs w:val="26"/>
          <w:rtl/>
        </w:rPr>
        <w:br/>
      </w:r>
      <w:r w:rsidR="00E870C3" w:rsidRPr="00E870C3">
        <w:rPr>
          <w:rFonts w:ascii="FrankRuehl" w:hAnsi="FrankRuehl" w:cs="FrankRuehl"/>
          <w:spacing w:val="640"/>
          <w:sz w:val="26"/>
          <w:szCs w:val="26"/>
          <w:rtl/>
        </w:rPr>
        <w:t> </w:t>
      </w:r>
      <w:r w:rsidR="00113825" w:rsidRPr="00E870C3">
        <w:rPr>
          <w:rFonts w:ascii="FrankRuehl" w:hAnsi="FrankRuehl" w:cs="FrankRuehl"/>
          <w:sz w:val="26"/>
          <w:szCs w:val="26"/>
          <w:rtl/>
        </w:rPr>
        <w:t>ופקדון כשהוא מושבע מפי אחרים דהוי דומיא דשבועת הדיינין ליבעי בהו אנקוטי חפצא</w:t>
      </w:r>
      <w:r w:rsidR="00113825" w:rsidRPr="00E870C3">
        <w:rPr>
          <w:rFonts w:ascii="FrankRuehl" w:hAnsi="FrankRuehl" w:cs="FrankRuehl" w:hint="cs"/>
          <w:sz w:val="26"/>
          <w:szCs w:val="26"/>
          <w:rtl/>
        </w:rPr>
        <w:t xml:space="preserve">", וביאור דבריהם שאף שלושת השבועות האלו, שהם שבועות שאדם נשבע מעצמו, </w:t>
      </w:r>
      <w:r w:rsidR="00113825" w:rsidRPr="00E870C3">
        <w:rPr>
          <w:rFonts w:ascii="FrankRuehl" w:hAnsi="FrankRuehl" w:cs="FrankRuehl" w:hint="cs"/>
          <w:sz w:val="26"/>
          <w:szCs w:val="26"/>
          <w:rtl/>
        </w:rPr>
        <w:t>נצריכו נקיטת חפץ אם הוא מושבע מפי אחרים, וצריך להבין דבריו במה זה דומה לשבועת הדיינין, ואם הם דומים לזה מה שייך לחלק בין מושבע מפי אחרים למושבע מפי עצמו.</w:t>
      </w:r>
      <w:r w:rsidR="00E870C3">
        <w:rPr>
          <w:rFonts w:ascii="FrankRuehl" w:hAnsi="FrankRuehl" w:cs="FrankRuehl"/>
          <w:sz w:val="26"/>
          <w:szCs w:val="26"/>
          <w:rtl/>
        </w:rPr>
        <w:tab/>
      </w:r>
    </w:p>
    <w:p w14:paraId="27A188A1" w14:textId="1501599A" w:rsidR="00E870C3" w:rsidRPr="00E870C3" w:rsidRDefault="00E870C3" w:rsidP="00A36C87">
      <w:pPr>
        <w:pStyle w:val="3"/>
        <w:spacing w:after="209"/>
        <w:rPr>
          <w:rtl/>
        </w:rPr>
      </w:pPr>
      <w:r w:rsidRPr="00E870C3">
        <w:rPr>
          <w:rFonts w:hint="cs"/>
          <w:rtl/>
        </w:rPr>
        <w:t>ביאורי המהרש"א והרש"ש בדברי התוס'</w:t>
      </w:r>
    </w:p>
    <w:p w14:paraId="7B0B003F" w14:textId="6D2C39F3" w:rsidR="00113825" w:rsidRPr="00E870C3" w:rsidRDefault="00113825" w:rsidP="00A36C87">
      <w:pPr>
        <w:spacing w:after="289"/>
        <w:jc w:val="distribute"/>
        <w:rPr>
          <w:rFonts w:ascii="FrankRuehl" w:hAnsi="FrankRuehl" w:cs="FrankRuehl"/>
          <w:sz w:val="26"/>
          <w:szCs w:val="26"/>
          <w:rtl/>
        </w:rPr>
      </w:pPr>
      <w:r w:rsidRPr="00E870C3">
        <w:rPr>
          <w:rStyle w:val="af2"/>
          <w:rFonts w:hint="cs"/>
          <w:rtl/>
        </w:rPr>
        <w:t>וכתב</w:t>
      </w:r>
      <w:r w:rsidRPr="00E870C3">
        <w:rPr>
          <w:rFonts w:ascii="FrankRuehl" w:hAnsi="FrankRuehl" w:cs="FrankRuehl" w:hint="cs"/>
          <w:sz w:val="26"/>
          <w:szCs w:val="26"/>
          <w:rtl/>
        </w:rPr>
        <w:t xml:space="preserve"> המהרש"א בשם פוסקים, </w:t>
      </w:r>
      <w:r w:rsidR="00DF3D6D" w:rsidRPr="00E870C3">
        <w:rPr>
          <w:rFonts w:ascii="FrankRuehl" w:hAnsi="FrankRuehl" w:cs="FrankRuehl" w:hint="cs"/>
          <w:sz w:val="26"/>
          <w:szCs w:val="26"/>
          <w:rtl/>
        </w:rPr>
        <w:t xml:space="preserve">שאה"נ </w:t>
      </w:r>
      <w:r w:rsidR="00E870C3">
        <w:rPr>
          <w:rFonts w:ascii="FrankRuehl" w:hAnsi="FrankRuehl" w:cs="FrankRuehl"/>
          <w:sz w:val="26"/>
          <w:szCs w:val="26"/>
          <w:rtl/>
        </w:rPr>
        <w:br/>
      </w:r>
      <w:r w:rsidR="00E870C3" w:rsidRPr="00E870C3">
        <w:rPr>
          <w:rFonts w:ascii="FrankRuehl" w:hAnsi="FrankRuehl" w:cs="FrankRuehl"/>
          <w:spacing w:val="680"/>
          <w:sz w:val="26"/>
          <w:szCs w:val="26"/>
          <w:rtl/>
        </w:rPr>
        <w:t> </w:t>
      </w:r>
      <w:r w:rsidR="00DF3D6D" w:rsidRPr="00E870C3">
        <w:rPr>
          <w:rFonts w:ascii="FrankRuehl" w:hAnsi="FrankRuehl" w:cs="FrankRuehl" w:hint="cs"/>
          <w:sz w:val="26"/>
          <w:szCs w:val="26"/>
          <w:rtl/>
        </w:rPr>
        <w:t>ובפירקא דידן איירי אחר הפרק שלעיל מיניה, ששם איירי במושבע מפי אחרים, והיינו שהאחד משביעו והוא עונה אמן, וכעין שבועה שמשביעין את הסוטה, ו</w:t>
      </w:r>
      <w:r w:rsidR="00C45403" w:rsidRPr="00E870C3">
        <w:rPr>
          <w:rFonts w:ascii="FrankRuehl" w:hAnsi="FrankRuehl" w:cs="FrankRuehl" w:hint="cs"/>
          <w:sz w:val="26"/>
          <w:szCs w:val="26"/>
          <w:rtl/>
        </w:rPr>
        <w:t>זהו מושבע מפי אחרים.</w:t>
      </w:r>
      <w:r w:rsidR="00E870C3">
        <w:rPr>
          <w:rFonts w:ascii="FrankRuehl" w:hAnsi="FrankRuehl" w:cs="FrankRuehl"/>
          <w:sz w:val="26"/>
          <w:szCs w:val="26"/>
          <w:rtl/>
        </w:rPr>
        <w:tab/>
      </w:r>
    </w:p>
    <w:p w14:paraId="5558278B" w14:textId="54B81D9B" w:rsidR="00C45403" w:rsidRPr="00E870C3" w:rsidRDefault="00C45403" w:rsidP="00A36C87">
      <w:pPr>
        <w:spacing w:after="289"/>
        <w:jc w:val="distribute"/>
        <w:rPr>
          <w:rFonts w:ascii="FrankRuehl" w:hAnsi="FrankRuehl" w:cs="FrankRuehl"/>
          <w:sz w:val="26"/>
          <w:szCs w:val="26"/>
          <w:rtl/>
        </w:rPr>
      </w:pPr>
      <w:r w:rsidRPr="00E870C3">
        <w:rPr>
          <w:rStyle w:val="af2"/>
          <w:rFonts w:hint="cs"/>
          <w:rtl/>
        </w:rPr>
        <w:t>אמנם</w:t>
      </w:r>
      <w:r w:rsidRPr="00E870C3">
        <w:rPr>
          <w:rFonts w:ascii="FrankRuehl" w:hAnsi="FrankRuehl" w:cs="FrankRuehl" w:hint="cs"/>
          <w:sz w:val="26"/>
          <w:szCs w:val="26"/>
          <w:rtl/>
        </w:rPr>
        <w:t xml:space="preserve"> הרש"ש חלק על דבריו, והוכיח שלא </w:t>
      </w:r>
      <w:r w:rsidR="00E870C3">
        <w:rPr>
          <w:rFonts w:ascii="FrankRuehl" w:hAnsi="FrankRuehl" w:cs="FrankRuehl"/>
          <w:sz w:val="26"/>
          <w:szCs w:val="26"/>
          <w:rtl/>
        </w:rPr>
        <w:br/>
      </w:r>
      <w:r w:rsidR="00E870C3" w:rsidRPr="00E870C3">
        <w:rPr>
          <w:rFonts w:ascii="FrankRuehl" w:hAnsi="FrankRuehl" w:cs="FrankRuehl"/>
          <w:spacing w:val="620"/>
          <w:sz w:val="26"/>
          <w:szCs w:val="26"/>
          <w:rtl/>
        </w:rPr>
        <w:t> </w:t>
      </w:r>
      <w:r w:rsidRPr="00E870C3">
        <w:rPr>
          <w:rFonts w:ascii="FrankRuehl" w:hAnsi="FrankRuehl" w:cs="FrankRuehl" w:hint="cs"/>
          <w:sz w:val="26"/>
          <w:szCs w:val="26"/>
          <w:rtl/>
        </w:rPr>
        <w:t xml:space="preserve">יתכן לומר כן, </w:t>
      </w:r>
      <w:r w:rsidR="003A7AEE" w:rsidRPr="00E870C3">
        <w:rPr>
          <w:rFonts w:ascii="FrankRuehl" w:hAnsi="FrankRuehl" w:cs="FrankRuehl" w:hint="cs"/>
          <w:sz w:val="26"/>
          <w:szCs w:val="26"/>
          <w:rtl/>
        </w:rPr>
        <w:t>שהרי שבועת ביטוי לעולם נחשבת לשבועה מפי עצמו, וכן כל שבועת הדיינין היא שבועה מפי עצמו, ומה שייך לדמות שבועה שאומר אמן לשבועת הדיינין.</w:t>
      </w:r>
      <w:r w:rsidR="00E870C3">
        <w:rPr>
          <w:rFonts w:ascii="FrankRuehl" w:hAnsi="FrankRuehl" w:cs="FrankRuehl"/>
          <w:sz w:val="26"/>
          <w:szCs w:val="26"/>
          <w:rtl/>
        </w:rPr>
        <w:tab/>
      </w:r>
    </w:p>
    <w:p w14:paraId="4F65C0F0" w14:textId="3654A6BD" w:rsidR="003A7AEE" w:rsidRPr="00E870C3" w:rsidRDefault="003A7AEE" w:rsidP="00A36C87">
      <w:pPr>
        <w:spacing w:after="289"/>
        <w:jc w:val="distribute"/>
        <w:rPr>
          <w:sz w:val="26"/>
          <w:szCs w:val="26"/>
          <w:rtl/>
        </w:rPr>
      </w:pPr>
      <w:r w:rsidRPr="00E870C3">
        <w:rPr>
          <w:rStyle w:val="af2"/>
          <w:rFonts w:hint="cs"/>
          <w:rtl/>
        </w:rPr>
        <w:t>וע"כ</w:t>
      </w:r>
      <w:r w:rsidRPr="00E870C3">
        <w:rPr>
          <w:rFonts w:ascii="FrankRuehl" w:hAnsi="FrankRuehl" w:cs="FrankRuehl" w:hint="cs"/>
          <w:sz w:val="26"/>
          <w:szCs w:val="26"/>
          <w:rtl/>
        </w:rPr>
        <w:t xml:space="preserve"> ביאר שכוונת התוס' שבועה מפי אחרים </w:t>
      </w:r>
      <w:r w:rsidR="00E870C3">
        <w:rPr>
          <w:rFonts w:ascii="FrankRuehl" w:hAnsi="FrankRuehl" w:cs="FrankRuehl"/>
          <w:sz w:val="26"/>
          <w:szCs w:val="26"/>
          <w:rtl/>
        </w:rPr>
        <w:br/>
      </w:r>
      <w:r w:rsidR="00E870C3" w:rsidRPr="00E870C3">
        <w:rPr>
          <w:rFonts w:ascii="FrankRuehl" w:hAnsi="FrankRuehl" w:cs="FrankRuehl"/>
          <w:spacing w:val="480"/>
          <w:sz w:val="26"/>
          <w:szCs w:val="26"/>
          <w:rtl/>
        </w:rPr>
        <w:t> </w:t>
      </w:r>
      <w:r w:rsidRPr="00E870C3">
        <w:rPr>
          <w:rFonts w:ascii="FrankRuehl" w:hAnsi="FrankRuehl" w:cs="FrankRuehl" w:hint="cs"/>
          <w:sz w:val="26"/>
          <w:szCs w:val="26"/>
          <w:rtl/>
        </w:rPr>
        <w:t>היינו שאחרים משביעין אותו, ובזה הוא דומה לשבועת הדיינין שחייב להישבע, וסברו התוס' שכל שבועה שאחר משביע אותו הוא דומה לשבועת הדיינין שאחרים משביעין אותו</w:t>
      </w:r>
      <w:r w:rsidRPr="00E870C3">
        <w:rPr>
          <w:rFonts w:hint="cs"/>
          <w:sz w:val="26"/>
          <w:szCs w:val="26"/>
          <w:rtl/>
        </w:rPr>
        <w:t xml:space="preserve"> </w:t>
      </w:r>
      <w:r w:rsidRPr="00E870C3">
        <w:rPr>
          <w:rFonts w:ascii="FrankRuehl" w:hAnsi="FrankRuehl" w:cs="FrankRuehl"/>
          <w:sz w:val="26"/>
          <w:szCs w:val="26"/>
          <w:rtl/>
        </w:rPr>
        <w:t>בע"כ</w:t>
      </w:r>
      <w:r w:rsidR="002B4846" w:rsidRPr="00E870C3">
        <w:rPr>
          <w:rFonts w:ascii="FrankRuehl" w:hAnsi="FrankRuehl" w:cs="FrankRuehl"/>
          <w:sz w:val="26"/>
          <w:szCs w:val="26"/>
          <w:rtl/>
        </w:rPr>
        <w:t>.</w:t>
      </w:r>
      <w:r w:rsidR="00E870C3">
        <w:rPr>
          <w:rFonts w:ascii="FrankRuehl" w:hAnsi="FrankRuehl" w:cs="FrankRuehl"/>
          <w:sz w:val="26"/>
          <w:szCs w:val="26"/>
          <w:rtl/>
        </w:rPr>
        <w:tab/>
      </w:r>
    </w:p>
    <w:p w14:paraId="2CB77265" w14:textId="0A5E7FA8" w:rsidR="00E870C3" w:rsidRPr="00E870C3" w:rsidRDefault="00E870C3" w:rsidP="00A36C87">
      <w:pPr>
        <w:pStyle w:val="3"/>
        <w:spacing w:after="209"/>
        <w:rPr>
          <w:rtl/>
        </w:rPr>
      </w:pPr>
      <w:r w:rsidRPr="00E870C3">
        <w:rPr>
          <w:rFonts w:hint="cs"/>
          <w:rtl/>
        </w:rPr>
        <w:t>ביאור הדין של נקיטת חפץ</w:t>
      </w:r>
    </w:p>
    <w:p w14:paraId="31B17186" w14:textId="688D7BEC" w:rsidR="002B4846" w:rsidRPr="00E870C3" w:rsidRDefault="002B4846" w:rsidP="00A36C87">
      <w:pPr>
        <w:spacing w:after="289"/>
        <w:jc w:val="distribute"/>
        <w:rPr>
          <w:rFonts w:ascii="FrankRuehl" w:hAnsi="FrankRuehl" w:cs="FrankRuehl"/>
          <w:sz w:val="26"/>
          <w:szCs w:val="26"/>
          <w:rtl/>
        </w:rPr>
      </w:pPr>
      <w:r w:rsidRPr="00E870C3">
        <w:rPr>
          <w:rStyle w:val="af2"/>
          <w:rFonts w:hint="cs"/>
          <w:rtl/>
        </w:rPr>
        <w:t>ו</w:t>
      </w:r>
      <w:r w:rsidR="0092150C" w:rsidRPr="00E870C3">
        <w:rPr>
          <w:rStyle w:val="af2"/>
          <w:rFonts w:hint="cs"/>
          <w:rtl/>
        </w:rPr>
        <w:t>כדי</w:t>
      </w:r>
      <w:r w:rsidR="0092150C" w:rsidRPr="00E870C3">
        <w:rPr>
          <w:rFonts w:ascii="FrankRuehl" w:hAnsi="FrankRuehl" w:cs="FrankRuehl" w:hint="cs"/>
          <w:sz w:val="26"/>
          <w:szCs w:val="26"/>
          <w:rtl/>
        </w:rPr>
        <w:t xml:space="preserve"> לבאר סברת התוס' לחלק בין מושבע מפי </w:t>
      </w:r>
      <w:r w:rsidR="00E870C3">
        <w:rPr>
          <w:rFonts w:ascii="FrankRuehl" w:hAnsi="FrankRuehl" w:cs="FrankRuehl"/>
          <w:sz w:val="26"/>
          <w:szCs w:val="26"/>
          <w:rtl/>
        </w:rPr>
        <w:br/>
      </w:r>
      <w:r w:rsidR="00E870C3" w:rsidRPr="00E870C3">
        <w:rPr>
          <w:rFonts w:ascii="FrankRuehl" w:hAnsi="FrankRuehl" w:cs="FrankRuehl"/>
          <w:spacing w:val="420"/>
          <w:sz w:val="26"/>
          <w:szCs w:val="26"/>
          <w:rtl/>
        </w:rPr>
        <w:t> </w:t>
      </w:r>
      <w:r w:rsidR="0092150C" w:rsidRPr="00E870C3">
        <w:rPr>
          <w:rFonts w:ascii="FrankRuehl" w:hAnsi="FrankRuehl" w:cs="FrankRuehl" w:hint="cs"/>
          <w:sz w:val="26"/>
          <w:szCs w:val="26"/>
          <w:rtl/>
        </w:rPr>
        <w:t>עצמו למושבע מפי אחרים, בין למהרש"א ובין לרש"ש, יש להקדים בתחילה את טעם הדין של נקיטת חפץ.</w:t>
      </w:r>
      <w:r w:rsidR="00E870C3">
        <w:rPr>
          <w:rFonts w:ascii="FrankRuehl" w:hAnsi="FrankRuehl" w:cs="FrankRuehl"/>
          <w:sz w:val="26"/>
          <w:szCs w:val="26"/>
          <w:rtl/>
        </w:rPr>
        <w:tab/>
      </w:r>
    </w:p>
    <w:p w14:paraId="2442B6E5" w14:textId="16D7EFB8" w:rsidR="001A6D99" w:rsidRPr="00E870C3" w:rsidRDefault="001A6D99" w:rsidP="00E870C3">
      <w:pPr>
        <w:jc w:val="distribute"/>
        <w:rPr>
          <w:rFonts w:ascii="FrankRuehl" w:hAnsi="FrankRuehl" w:cs="FrankRuehl"/>
          <w:sz w:val="26"/>
          <w:szCs w:val="26"/>
          <w:rtl/>
        </w:rPr>
      </w:pPr>
      <w:r w:rsidRPr="00E870C3">
        <w:rPr>
          <w:rStyle w:val="af2"/>
          <w:rFonts w:hint="cs"/>
          <w:rtl/>
        </w:rPr>
        <w:t>המקור</w:t>
      </w:r>
      <w:r w:rsidRPr="00E870C3">
        <w:rPr>
          <w:rFonts w:ascii="FrankRuehl" w:hAnsi="FrankRuehl" w:cs="FrankRuehl" w:hint="cs"/>
          <w:sz w:val="26"/>
          <w:szCs w:val="26"/>
          <w:rtl/>
        </w:rPr>
        <w:t xml:space="preserve"> לנקיטת חפץ בשבועה, נתבאר בגמ' </w:t>
      </w:r>
      <w:r w:rsidR="00E870C3">
        <w:rPr>
          <w:rFonts w:ascii="FrankRuehl" w:hAnsi="FrankRuehl" w:cs="FrankRuehl"/>
          <w:sz w:val="26"/>
          <w:szCs w:val="26"/>
          <w:rtl/>
        </w:rPr>
        <w:br/>
      </w:r>
      <w:r w:rsidR="00E870C3" w:rsidRPr="00E870C3">
        <w:rPr>
          <w:rFonts w:ascii="FrankRuehl" w:hAnsi="FrankRuehl" w:cs="FrankRuehl"/>
          <w:spacing w:val="720"/>
          <w:sz w:val="26"/>
          <w:szCs w:val="26"/>
          <w:rtl/>
        </w:rPr>
        <w:t> </w:t>
      </w:r>
      <w:r w:rsidRPr="00E870C3">
        <w:rPr>
          <w:rFonts w:ascii="FrankRuehl" w:hAnsi="FrankRuehl" w:cs="FrankRuehl" w:hint="cs"/>
          <w:sz w:val="26"/>
          <w:szCs w:val="26"/>
          <w:rtl/>
        </w:rPr>
        <w:t xml:space="preserve">שהוא משבועת אברהם את אליעזר עבדו, שלא יקח אישה לבנו מבנות כנען, ואמר </w:t>
      </w:r>
      <w:r w:rsidRPr="00E870C3">
        <w:rPr>
          <w:rFonts w:ascii="FrankRuehl" w:hAnsi="FrankRuehl" w:cs="FrankRuehl" w:hint="cs"/>
          <w:sz w:val="26"/>
          <w:szCs w:val="26"/>
          <w:rtl/>
        </w:rPr>
        <w:lastRenderedPageBreak/>
        <w:t>לו "שים נא ידך תחת ירכי", והשביעו במילתו</w:t>
      </w:r>
      <w:r w:rsidR="00E870C3" w:rsidRPr="00E870C3">
        <w:rPr>
          <w:rStyle w:val="af0"/>
          <w:rFonts w:ascii="FrankRuehl" w:hAnsi="FrankRuehl" w:cs="FrankRuehl"/>
          <w:sz w:val="26"/>
          <w:szCs w:val="26"/>
          <w:rtl/>
        </w:rPr>
        <w:footnoteReference w:id="2"/>
      </w:r>
      <w:r w:rsidRPr="00E870C3">
        <w:rPr>
          <w:rFonts w:ascii="FrankRuehl" w:hAnsi="FrankRuehl" w:cs="FrankRuehl" w:hint="cs"/>
          <w:sz w:val="26"/>
          <w:szCs w:val="26"/>
          <w:rtl/>
        </w:rPr>
        <w:t xml:space="preserve">, </w:t>
      </w:r>
      <w:r w:rsidR="00F32156" w:rsidRPr="00E870C3">
        <w:rPr>
          <w:rFonts w:ascii="FrankRuehl" w:hAnsi="FrankRuehl" w:cs="FrankRuehl" w:hint="cs"/>
          <w:sz w:val="26"/>
          <w:szCs w:val="26"/>
          <w:rtl/>
        </w:rPr>
        <w:t>והביא הרא"ש בסוגין שתי ביאורים, הראשון הוא שילפינן באליעזר בלימוד גמור</w:t>
      </w:r>
      <w:r w:rsidR="007F26D4" w:rsidRPr="00E870C3">
        <w:rPr>
          <w:rFonts w:ascii="FrankRuehl" w:hAnsi="FrankRuehl" w:cs="FrankRuehl" w:hint="cs"/>
          <w:sz w:val="26"/>
          <w:szCs w:val="26"/>
          <w:rtl/>
        </w:rPr>
        <w:t>, וביאור נוסף שאי"ז לימוד אלא אסמכתא בעלמא, וטעם הדבר שהצריכו רבנן שבועה בנקיטת חפץ הוא להטיל עליו אימא, וכמו שמצינו באליעזר, שאברהם רצה לתת תוקף לשבועתו, ומשום כך השביעו בנקיטת חפץ, וכתב הרא"ש שאם כל הלימוד מאליעזר הוא אסמכתא בעלמא לא קשה קושית התוס', שהרי כל מה שבעינן הוא לאיים עליו כדי שישבע שבועת אמת, ובכה"ג לא שייך לאיים עליו</w:t>
      </w:r>
      <w:r w:rsidR="00CD5324" w:rsidRPr="00E870C3">
        <w:rPr>
          <w:rFonts w:ascii="FrankRuehl" w:hAnsi="FrankRuehl" w:cs="FrankRuehl" w:hint="cs"/>
          <w:sz w:val="26"/>
          <w:szCs w:val="26"/>
          <w:rtl/>
        </w:rPr>
        <w:t>, שהרי כל השבועות שהביאו התוס' הם שבועות שהאדם נשבע מדעתו.</w:t>
      </w:r>
      <w:r w:rsidR="00E870C3">
        <w:rPr>
          <w:rFonts w:ascii="FrankRuehl" w:hAnsi="FrankRuehl" w:cs="FrankRuehl"/>
          <w:sz w:val="26"/>
          <w:szCs w:val="26"/>
          <w:rtl/>
        </w:rPr>
        <w:tab/>
      </w:r>
    </w:p>
    <w:p w14:paraId="7B88EC77" w14:textId="3875CC6F" w:rsidR="00E870C3" w:rsidRPr="00E870C3" w:rsidRDefault="00E870C3" w:rsidP="00E870C3">
      <w:pPr>
        <w:pStyle w:val="3"/>
        <w:rPr>
          <w:rtl/>
        </w:rPr>
      </w:pPr>
      <w:r w:rsidRPr="00E870C3">
        <w:rPr>
          <w:rFonts w:hint="cs"/>
          <w:rtl/>
        </w:rPr>
        <w:t>שי' התוס' בטעם נקיטת חפץ בשבועה</w:t>
      </w:r>
    </w:p>
    <w:p w14:paraId="764610CF" w14:textId="7514174B" w:rsidR="007F26D4" w:rsidRPr="00E870C3" w:rsidRDefault="00CD5324" w:rsidP="00E870C3">
      <w:pPr>
        <w:jc w:val="distribute"/>
        <w:rPr>
          <w:rFonts w:ascii="FrankRuehl" w:hAnsi="FrankRuehl" w:cs="FrankRuehl"/>
          <w:sz w:val="26"/>
          <w:szCs w:val="26"/>
          <w:rtl/>
        </w:rPr>
      </w:pPr>
      <w:r w:rsidRPr="00E870C3">
        <w:rPr>
          <w:rStyle w:val="af2"/>
          <w:rFonts w:hint="cs"/>
          <w:rtl/>
        </w:rPr>
        <w:t>ומעתה</w:t>
      </w:r>
      <w:r w:rsidRPr="00E870C3">
        <w:rPr>
          <w:rFonts w:ascii="FrankRuehl" w:hAnsi="FrankRuehl" w:cs="FrankRuehl" w:hint="cs"/>
          <w:sz w:val="26"/>
          <w:szCs w:val="26"/>
          <w:rtl/>
        </w:rPr>
        <w:t xml:space="preserve"> </w:t>
      </w:r>
      <w:r w:rsidR="0033422F" w:rsidRPr="00E870C3">
        <w:rPr>
          <w:rFonts w:ascii="FrankRuehl" w:hAnsi="FrankRuehl" w:cs="FrankRuehl" w:hint="cs"/>
          <w:sz w:val="26"/>
          <w:szCs w:val="26"/>
          <w:rtl/>
        </w:rPr>
        <w:t>ש</w:t>
      </w:r>
      <w:r w:rsidRPr="00E870C3">
        <w:rPr>
          <w:rFonts w:ascii="FrankRuehl" w:hAnsi="FrankRuehl" w:cs="FrankRuehl" w:hint="cs"/>
          <w:sz w:val="26"/>
          <w:szCs w:val="26"/>
          <w:rtl/>
        </w:rPr>
        <w:t>מיענו</w:t>
      </w:r>
      <w:r w:rsidR="0033422F" w:rsidRPr="00E870C3">
        <w:rPr>
          <w:rFonts w:ascii="FrankRuehl" w:hAnsi="FrankRuehl" w:cs="FrankRuehl" w:hint="cs"/>
          <w:sz w:val="26"/>
          <w:szCs w:val="26"/>
          <w:rtl/>
        </w:rPr>
        <w:t xml:space="preserve"> התוס'</w:t>
      </w:r>
      <w:r w:rsidRPr="00E870C3">
        <w:rPr>
          <w:rFonts w:ascii="FrankRuehl" w:hAnsi="FrankRuehl" w:cs="FrankRuehl" w:hint="cs"/>
          <w:sz w:val="26"/>
          <w:szCs w:val="26"/>
          <w:rtl/>
        </w:rPr>
        <w:t xml:space="preserve"> בביאור הרא"ש ונשארו </w:t>
      </w:r>
      <w:r w:rsidR="00E870C3">
        <w:rPr>
          <w:rFonts w:ascii="FrankRuehl" w:hAnsi="FrankRuehl" w:cs="FrankRuehl"/>
          <w:sz w:val="26"/>
          <w:szCs w:val="26"/>
          <w:rtl/>
        </w:rPr>
        <w:br/>
      </w:r>
      <w:r w:rsidR="00E870C3" w:rsidRPr="00E870C3">
        <w:rPr>
          <w:rFonts w:ascii="FrankRuehl" w:hAnsi="FrankRuehl" w:cs="FrankRuehl"/>
          <w:spacing w:val="700"/>
          <w:sz w:val="26"/>
          <w:szCs w:val="26"/>
          <w:rtl/>
        </w:rPr>
        <w:t> </w:t>
      </w:r>
      <w:r w:rsidRPr="00E870C3">
        <w:rPr>
          <w:rFonts w:ascii="FrankRuehl" w:hAnsi="FrankRuehl" w:cs="FrankRuehl" w:hint="cs"/>
          <w:sz w:val="26"/>
          <w:szCs w:val="26"/>
          <w:rtl/>
        </w:rPr>
        <w:t>בצ"ע</w:t>
      </w:r>
      <w:r w:rsidR="0033422F" w:rsidRPr="00E870C3">
        <w:rPr>
          <w:rFonts w:ascii="FrankRuehl" w:hAnsi="FrankRuehl" w:cs="FrankRuehl" w:hint="cs"/>
          <w:sz w:val="26"/>
          <w:szCs w:val="26"/>
          <w:rtl/>
        </w:rPr>
        <w:t>,</w:t>
      </w:r>
      <w:r w:rsidRPr="00E870C3">
        <w:rPr>
          <w:rFonts w:ascii="FrankRuehl" w:hAnsi="FrankRuehl" w:cs="FrankRuehl" w:hint="cs"/>
          <w:sz w:val="26"/>
          <w:szCs w:val="26"/>
          <w:rtl/>
        </w:rPr>
        <w:t xml:space="preserve"> נראה שחלקו על יסוד דברי הרא"ש, וס"ל כביאורו הראשון שילפינן מקרא, וממילא לא שייך ל</w:t>
      </w:r>
      <w:r w:rsidR="00B350C1" w:rsidRPr="00E870C3">
        <w:rPr>
          <w:rFonts w:ascii="FrankRuehl" w:hAnsi="FrankRuehl" w:cs="FrankRuehl" w:hint="cs"/>
          <w:sz w:val="26"/>
          <w:szCs w:val="26"/>
          <w:rtl/>
        </w:rPr>
        <w:t>חלק בין היכא שצריך להטיל עליו מורא, לבין היכא שלא, שהרי אם ילפינן שכן היא צורת השבועה, אין מקום לחלק ביניהם.</w:t>
      </w:r>
      <w:r w:rsidR="00E870C3">
        <w:rPr>
          <w:rFonts w:ascii="FrankRuehl" w:hAnsi="FrankRuehl" w:cs="FrankRuehl"/>
          <w:sz w:val="26"/>
          <w:szCs w:val="26"/>
          <w:rtl/>
        </w:rPr>
        <w:tab/>
      </w:r>
    </w:p>
    <w:p w14:paraId="70DA9C0F" w14:textId="1ECE93F4" w:rsidR="0033422F" w:rsidRPr="00E870C3" w:rsidRDefault="0033422F" w:rsidP="00E870C3">
      <w:pPr>
        <w:jc w:val="distribute"/>
        <w:rPr>
          <w:rFonts w:ascii="FrankRuehl" w:hAnsi="FrankRuehl" w:cs="FrankRuehl"/>
          <w:sz w:val="26"/>
          <w:szCs w:val="26"/>
          <w:rtl/>
        </w:rPr>
      </w:pPr>
      <w:r w:rsidRPr="00E870C3">
        <w:rPr>
          <w:rStyle w:val="af2"/>
          <w:rFonts w:hint="cs"/>
          <w:rtl/>
        </w:rPr>
        <w:t>ואעפי"כ</w:t>
      </w:r>
      <w:r w:rsidRPr="00E870C3">
        <w:rPr>
          <w:rFonts w:ascii="FrankRuehl" w:hAnsi="FrankRuehl" w:cs="FrankRuehl" w:hint="cs"/>
          <w:sz w:val="26"/>
          <w:szCs w:val="26"/>
          <w:rtl/>
        </w:rPr>
        <w:t xml:space="preserve"> סברו התוס' שדווקא מושבע מפי </w:t>
      </w:r>
      <w:r w:rsidR="00E870C3">
        <w:rPr>
          <w:rFonts w:ascii="FrankRuehl" w:hAnsi="FrankRuehl" w:cs="FrankRuehl"/>
          <w:sz w:val="26"/>
          <w:szCs w:val="26"/>
          <w:rtl/>
        </w:rPr>
        <w:br/>
      </w:r>
      <w:r w:rsidR="00E870C3" w:rsidRPr="00E870C3">
        <w:rPr>
          <w:rFonts w:ascii="FrankRuehl" w:hAnsi="FrankRuehl" w:cs="FrankRuehl"/>
          <w:spacing w:val="900"/>
          <w:sz w:val="26"/>
          <w:szCs w:val="26"/>
          <w:rtl/>
        </w:rPr>
        <w:t> </w:t>
      </w:r>
      <w:r w:rsidRPr="00E870C3">
        <w:rPr>
          <w:rFonts w:ascii="FrankRuehl" w:hAnsi="FrankRuehl" w:cs="FrankRuehl" w:hint="cs"/>
          <w:sz w:val="26"/>
          <w:szCs w:val="26"/>
          <w:rtl/>
        </w:rPr>
        <w:t xml:space="preserve">אחרים הוא הדומה לשבועת הדיינין, ולא מושבע מפי עצמו, ובפשטות אם כדברינו שלתוס' נקיטת חפץ הוא חלק ממעמד השבועה, סברו שדווקא כשאחרים משביעין אותו הוא דומה לצורת השבועה של בי"ד, אבל </w:t>
      </w:r>
      <w:r w:rsidR="009453C1" w:rsidRPr="00E870C3">
        <w:rPr>
          <w:rFonts w:ascii="FrankRuehl" w:hAnsi="FrankRuehl" w:cs="FrankRuehl" w:hint="cs"/>
          <w:sz w:val="26"/>
          <w:szCs w:val="26"/>
          <w:rtl/>
        </w:rPr>
        <w:t>במושבע מפי עצמו, למהרש"א כשהוא אומר לשון השבועה, ולרש"ש כשנשבע ע"י עצמו, והיינו שאינו חייב להישבע, אי"ז דומה לעיקר השבועה שמשביעין אותו בבי"ד.</w:t>
      </w:r>
      <w:r w:rsidR="00E870C3">
        <w:rPr>
          <w:rFonts w:ascii="FrankRuehl" w:hAnsi="FrankRuehl" w:cs="FrankRuehl"/>
          <w:sz w:val="26"/>
          <w:szCs w:val="26"/>
          <w:rtl/>
        </w:rPr>
        <w:tab/>
      </w:r>
    </w:p>
    <w:p w14:paraId="54523016" w14:textId="41C9EC5F" w:rsidR="00E870C3" w:rsidRPr="00E870C3" w:rsidRDefault="00E870C3" w:rsidP="00E870C3">
      <w:pPr>
        <w:pStyle w:val="3"/>
        <w:rPr>
          <w:rtl/>
        </w:rPr>
      </w:pPr>
      <w:r w:rsidRPr="00E870C3">
        <w:rPr>
          <w:rFonts w:hint="cs"/>
          <w:rtl/>
        </w:rPr>
        <w:t>הלימוד מאליעזר, אף שזו היתה שבועה מפי עצמו</w:t>
      </w:r>
    </w:p>
    <w:p w14:paraId="0F9E5C9C" w14:textId="760ECD48" w:rsidR="009453C1" w:rsidRPr="00E870C3" w:rsidRDefault="009453C1" w:rsidP="00E870C3">
      <w:pPr>
        <w:jc w:val="distribute"/>
        <w:rPr>
          <w:rFonts w:ascii="FrankRuehl" w:hAnsi="FrankRuehl" w:cs="FrankRuehl"/>
          <w:sz w:val="26"/>
          <w:szCs w:val="26"/>
          <w:rtl/>
        </w:rPr>
      </w:pPr>
      <w:r w:rsidRPr="00E870C3">
        <w:rPr>
          <w:rStyle w:val="af2"/>
          <w:rFonts w:hint="cs"/>
          <w:rtl/>
        </w:rPr>
        <w:t>אמנם</w:t>
      </w:r>
      <w:r w:rsidRPr="00E870C3">
        <w:rPr>
          <w:rFonts w:ascii="FrankRuehl" w:hAnsi="FrankRuehl" w:cs="FrankRuehl" w:hint="cs"/>
          <w:sz w:val="26"/>
          <w:szCs w:val="26"/>
          <w:rtl/>
        </w:rPr>
        <w:t xml:space="preserve"> עדיין צ"ע טובא, שאם כל המקור ללמוד </w:t>
      </w:r>
      <w:r w:rsidR="00E870C3">
        <w:rPr>
          <w:rFonts w:ascii="FrankRuehl" w:hAnsi="FrankRuehl" w:cs="FrankRuehl"/>
          <w:sz w:val="26"/>
          <w:szCs w:val="26"/>
          <w:rtl/>
        </w:rPr>
        <w:br/>
      </w:r>
      <w:r w:rsidR="00E870C3" w:rsidRPr="00E870C3">
        <w:rPr>
          <w:rFonts w:ascii="FrankRuehl" w:hAnsi="FrankRuehl" w:cs="FrankRuehl"/>
          <w:spacing w:val="570"/>
          <w:sz w:val="26"/>
          <w:szCs w:val="26"/>
          <w:rtl/>
        </w:rPr>
        <w:t> </w:t>
      </w:r>
      <w:r w:rsidRPr="00E870C3">
        <w:rPr>
          <w:rFonts w:ascii="FrankRuehl" w:hAnsi="FrankRuehl" w:cs="FrankRuehl" w:hint="cs"/>
          <w:sz w:val="26"/>
          <w:szCs w:val="26"/>
          <w:rtl/>
        </w:rPr>
        <w:t xml:space="preserve">דין נקיטת חפץ הוא מאליעזר עבד אברהם, הרי </w:t>
      </w:r>
      <w:r w:rsidR="00E870C3" w:rsidRPr="00E870C3">
        <w:rPr>
          <w:rFonts w:ascii="FrankRuehl" w:hAnsi="FrankRuehl" w:cs="FrankRuehl" w:hint="cs"/>
          <w:sz w:val="26"/>
          <w:szCs w:val="26"/>
          <w:rtl/>
        </w:rPr>
        <w:t>שם</w:t>
      </w:r>
      <w:r w:rsidRPr="00E870C3">
        <w:rPr>
          <w:rFonts w:ascii="FrankRuehl" w:hAnsi="FrankRuehl" w:cs="FrankRuehl" w:hint="cs"/>
          <w:sz w:val="26"/>
          <w:szCs w:val="26"/>
          <w:rtl/>
        </w:rPr>
        <w:t xml:space="preserve"> ז</w:t>
      </w:r>
      <w:r w:rsidR="00E870C3" w:rsidRPr="00E870C3">
        <w:rPr>
          <w:rFonts w:ascii="FrankRuehl" w:hAnsi="FrankRuehl" w:cs="FrankRuehl" w:hint="cs"/>
          <w:sz w:val="26"/>
          <w:szCs w:val="26"/>
          <w:rtl/>
        </w:rPr>
        <w:t>ו היתה</w:t>
      </w:r>
      <w:r w:rsidRPr="00E870C3">
        <w:rPr>
          <w:rFonts w:ascii="FrankRuehl" w:hAnsi="FrankRuehl" w:cs="FrankRuehl" w:hint="cs"/>
          <w:sz w:val="26"/>
          <w:szCs w:val="26"/>
          <w:rtl/>
        </w:rPr>
        <w:t xml:space="preserve"> שבועה מפי עצמו, </w:t>
      </w:r>
      <w:r w:rsidR="00267D3E" w:rsidRPr="00E870C3">
        <w:rPr>
          <w:rFonts w:ascii="FrankRuehl" w:hAnsi="FrankRuehl" w:cs="FrankRuehl" w:hint="cs"/>
          <w:sz w:val="26"/>
          <w:szCs w:val="26"/>
          <w:rtl/>
        </w:rPr>
        <w:t xml:space="preserve">שהרי לא היה חייב אליעזר להישבע לאברהם, </w:t>
      </w:r>
      <w:r w:rsidRPr="00E870C3">
        <w:rPr>
          <w:rFonts w:ascii="FrankRuehl" w:hAnsi="FrankRuehl" w:cs="FrankRuehl" w:hint="cs"/>
          <w:sz w:val="26"/>
          <w:szCs w:val="26"/>
          <w:rtl/>
        </w:rPr>
        <w:t>ומ</w:t>
      </w:r>
      <w:r w:rsidR="00267D3E" w:rsidRPr="00E870C3">
        <w:rPr>
          <w:rFonts w:ascii="FrankRuehl" w:hAnsi="FrankRuehl" w:cs="FrankRuehl" w:hint="cs"/>
          <w:sz w:val="26"/>
          <w:szCs w:val="26"/>
          <w:rtl/>
        </w:rPr>
        <w:t>דוע לומדים מזה דווקא לשבועת הדיינים, ועוד מקשים תוס' ששבועת ביטוי ג"כ דומה לשבועת הדיינין אם היא מפי אחרים, והרי כל מקור נקיטת חפץ הוא בשבועת ביטוי.</w:t>
      </w:r>
      <w:r w:rsidR="00E870C3">
        <w:rPr>
          <w:rFonts w:ascii="FrankRuehl" w:hAnsi="FrankRuehl" w:cs="FrankRuehl"/>
          <w:sz w:val="26"/>
          <w:szCs w:val="26"/>
          <w:rtl/>
        </w:rPr>
        <w:tab/>
      </w:r>
    </w:p>
    <w:p w14:paraId="5F3635B2" w14:textId="30E63499" w:rsidR="00267D3E" w:rsidRPr="00E870C3" w:rsidRDefault="00755307" w:rsidP="00E870C3">
      <w:pPr>
        <w:jc w:val="distribute"/>
        <w:rPr>
          <w:rFonts w:ascii="FrankRuehl" w:hAnsi="FrankRuehl" w:cs="FrankRuehl"/>
          <w:sz w:val="26"/>
          <w:szCs w:val="26"/>
          <w:rtl/>
        </w:rPr>
      </w:pPr>
      <w:r w:rsidRPr="00E870C3">
        <w:rPr>
          <w:rStyle w:val="af2"/>
          <w:rFonts w:hint="cs"/>
          <w:rtl/>
        </w:rPr>
        <w:t>ולישב</w:t>
      </w:r>
      <w:r w:rsidRPr="00E870C3">
        <w:rPr>
          <w:rFonts w:ascii="FrankRuehl" w:hAnsi="FrankRuehl" w:cs="FrankRuehl" w:hint="cs"/>
          <w:sz w:val="26"/>
          <w:szCs w:val="26"/>
          <w:rtl/>
        </w:rPr>
        <w:t xml:space="preserve"> דברי התוס' אפשר לומר שאף תוס' </w:t>
      </w:r>
      <w:r w:rsidR="00E870C3">
        <w:rPr>
          <w:rFonts w:ascii="FrankRuehl" w:hAnsi="FrankRuehl" w:cs="FrankRuehl"/>
          <w:sz w:val="26"/>
          <w:szCs w:val="26"/>
          <w:rtl/>
        </w:rPr>
        <w:br/>
      </w:r>
      <w:r w:rsidR="00E870C3" w:rsidRPr="00E870C3">
        <w:rPr>
          <w:rFonts w:ascii="FrankRuehl" w:hAnsi="FrankRuehl" w:cs="FrankRuehl"/>
          <w:spacing w:val="670"/>
          <w:sz w:val="26"/>
          <w:szCs w:val="26"/>
          <w:rtl/>
        </w:rPr>
        <w:t> </w:t>
      </w:r>
      <w:r w:rsidRPr="00E870C3">
        <w:rPr>
          <w:rFonts w:ascii="FrankRuehl" w:hAnsi="FrankRuehl" w:cs="FrankRuehl" w:hint="cs"/>
          <w:sz w:val="26"/>
          <w:szCs w:val="26"/>
          <w:rtl/>
        </w:rPr>
        <w:t xml:space="preserve">מודו לדברי הרא"ש שלא ילפינן מאליעזר עבד אברהם, וכל הלימוד הוא רק מאסמכתא, ורבנן הינהו אצרכו שבועה, אלא שלא אצריכוהו שבועה מטעם הרא"ש שהוא כדי להטיל עליו אימה ויראה, אלא מטעם </w:t>
      </w:r>
      <w:r w:rsidR="001B2681" w:rsidRPr="00E870C3">
        <w:rPr>
          <w:rFonts w:ascii="FrankRuehl" w:hAnsi="FrankRuehl" w:cs="FrankRuehl" w:hint="cs"/>
          <w:sz w:val="26"/>
          <w:szCs w:val="26"/>
          <w:rtl/>
        </w:rPr>
        <w:t>שכך ראוי לה להיות לשבועה שהיא חמורה, שתיהיה ברוממות ובקדושה, וכפי שמצינו באליעזר שכשרצה אברהם להשביעו השביעו בנקיטת חפץ, הרי שנקיטת חפץ הופכת את השבועה לרצינית ומרוממת יותר.</w:t>
      </w:r>
      <w:r w:rsidR="00E870C3">
        <w:rPr>
          <w:rFonts w:ascii="FrankRuehl" w:hAnsi="FrankRuehl" w:cs="FrankRuehl"/>
          <w:sz w:val="26"/>
          <w:szCs w:val="26"/>
          <w:rtl/>
        </w:rPr>
        <w:tab/>
      </w:r>
    </w:p>
    <w:p w14:paraId="5C0F85F9" w14:textId="0A7CABB9" w:rsidR="001B2681" w:rsidRPr="00E870C3" w:rsidRDefault="001B2681" w:rsidP="00E870C3">
      <w:pPr>
        <w:jc w:val="distribute"/>
        <w:rPr>
          <w:rFonts w:ascii="FrankRuehl" w:hAnsi="FrankRuehl" w:cs="FrankRuehl"/>
          <w:sz w:val="26"/>
          <w:szCs w:val="26"/>
          <w:rtl/>
        </w:rPr>
      </w:pPr>
      <w:r w:rsidRPr="00E870C3">
        <w:rPr>
          <w:rStyle w:val="af2"/>
          <w:rFonts w:hint="cs"/>
          <w:rtl/>
        </w:rPr>
        <w:t>אלא</w:t>
      </w:r>
      <w:r w:rsidRPr="00E870C3">
        <w:rPr>
          <w:rFonts w:ascii="FrankRuehl" w:hAnsi="FrankRuehl" w:cs="FrankRuehl" w:hint="cs"/>
          <w:sz w:val="26"/>
          <w:szCs w:val="26"/>
          <w:rtl/>
        </w:rPr>
        <w:t xml:space="preserve"> שאמנם בתוס' אפשר לומר כן, אך מצינו </w:t>
      </w:r>
      <w:r w:rsidR="00E870C3">
        <w:rPr>
          <w:rFonts w:ascii="FrankRuehl" w:hAnsi="FrankRuehl" w:cs="FrankRuehl"/>
          <w:sz w:val="26"/>
          <w:szCs w:val="26"/>
          <w:rtl/>
        </w:rPr>
        <w:br/>
      </w:r>
      <w:r w:rsidR="00E870C3" w:rsidRPr="00E870C3">
        <w:rPr>
          <w:rFonts w:ascii="FrankRuehl" w:hAnsi="FrankRuehl" w:cs="FrankRuehl"/>
          <w:spacing w:val="450"/>
          <w:sz w:val="26"/>
          <w:szCs w:val="26"/>
          <w:rtl/>
        </w:rPr>
        <w:t> </w:t>
      </w:r>
      <w:r w:rsidRPr="00E870C3">
        <w:rPr>
          <w:rFonts w:ascii="FrankRuehl" w:hAnsi="FrankRuehl" w:cs="FrankRuehl" w:hint="cs"/>
          <w:sz w:val="26"/>
          <w:szCs w:val="26"/>
          <w:rtl/>
        </w:rPr>
        <w:t>להדיא</w:t>
      </w:r>
      <w:r w:rsidR="00914DFE" w:rsidRPr="00E870C3">
        <w:rPr>
          <w:rFonts w:ascii="FrankRuehl" w:hAnsi="FrankRuehl" w:cs="FrankRuehl" w:hint="cs"/>
          <w:sz w:val="26"/>
          <w:szCs w:val="26"/>
          <w:rtl/>
        </w:rPr>
        <w:t xml:space="preserve"> בלקט יושר (</w:t>
      </w:r>
      <w:hyperlink r:id="rId8" w:history="1">
        <w:r w:rsidR="00914DFE" w:rsidRPr="00E870C3">
          <w:rPr>
            <w:rStyle w:val="Hyperlink"/>
            <w:rFonts w:ascii="FrankRuehl" w:hAnsi="FrankRuehl" w:cs="FrankRuehl" w:hint="cs"/>
            <w:sz w:val="26"/>
            <w:szCs w:val="26"/>
            <w:rtl/>
          </w:rPr>
          <w:t>יו</w:t>
        </w:r>
        <w:r w:rsidR="00914DFE" w:rsidRPr="00E870C3">
          <w:rPr>
            <w:rStyle w:val="Hyperlink"/>
            <w:rFonts w:ascii="FrankRuehl" w:hAnsi="FrankRuehl" w:cs="FrankRuehl"/>
            <w:sz w:val="26"/>
            <w:szCs w:val="26"/>
            <w:rtl/>
          </w:rPr>
          <w:t>"ד דף ל</w:t>
        </w:r>
      </w:hyperlink>
      <w:r w:rsidR="00914DFE" w:rsidRPr="00E870C3">
        <w:rPr>
          <w:rFonts w:ascii="FrankRuehl" w:hAnsi="FrankRuehl" w:cs="FrankRuehl" w:hint="cs"/>
          <w:sz w:val="26"/>
          <w:szCs w:val="26"/>
          <w:rtl/>
        </w:rPr>
        <w:t xml:space="preserve">) שביאר בדברי התוס' שילפינן לה מקרא, והוא לא כאסמכתא בעלמא, וכן כתב התורת חיים </w:t>
      </w:r>
      <w:r w:rsidR="005C4774" w:rsidRPr="00E870C3">
        <w:rPr>
          <w:rFonts w:ascii="FrankRuehl" w:hAnsi="FrankRuehl" w:cs="FrankRuehl" w:hint="cs"/>
          <w:sz w:val="26"/>
          <w:szCs w:val="26"/>
          <w:rtl/>
        </w:rPr>
        <w:t>שילפינן לה מקרא, אמנם גם בד</w:t>
      </w:r>
      <w:r w:rsidR="00E870C3" w:rsidRPr="00E870C3">
        <w:rPr>
          <w:rFonts w:ascii="FrankRuehl" w:hAnsi="FrankRuehl" w:cs="FrankRuehl" w:hint="cs"/>
          <w:sz w:val="26"/>
          <w:szCs w:val="26"/>
          <w:rtl/>
        </w:rPr>
        <w:t>ב</w:t>
      </w:r>
      <w:r w:rsidR="005C4774" w:rsidRPr="00E870C3">
        <w:rPr>
          <w:rFonts w:ascii="FrankRuehl" w:hAnsi="FrankRuehl" w:cs="FrankRuehl" w:hint="cs"/>
          <w:sz w:val="26"/>
          <w:szCs w:val="26"/>
          <w:rtl/>
        </w:rPr>
        <w:t>ריהם יש לישב שלא ילפינן מאליעזר ממש, אלא כיון ששבועה היא חמורה, וזה ילפינן מכל שבועה, ודרשו רבנן מאליעזר את צורת השבועה החמורה, וצ"ע בזה.</w:t>
      </w:r>
      <w:r w:rsidR="00E870C3">
        <w:rPr>
          <w:rFonts w:ascii="FrankRuehl" w:hAnsi="FrankRuehl" w:cs="FrankRuehl"/>
          <w:sz w:val="26"/>
          <w:szCs w:val="26"/>
          <w:rtl/>
        </w:rPr>
        <w:tab/>
      </w:r>
    </w:p>
    <w:p w14:paraId="10924500" w14:textId="1C941404" w:rsidR="00E870C3" w:rsidRPr="00E870C3" w:rsidRDefault="00E870C3" w:rsidP="00E870C3">
      <w:pPr>
        <w:pStyle w:val="2"/>
        <w:rPr>
          <w:rtl/>
        </w:rPr>
      </w:pPr>
      <w:r w:rsidRPr="00E870C3">
        <w:rPr>
          <w:rFonts w:hint="cs"/>
          <w:rtl/>
        </w:rPr>
        <w:t>בטעם החילוק בין מושבע מפי עצמו למושבע מפי אחרים</w:t>
      </w:r>
    </w:p>
    <w:p w14:paraId="0829C194" w14:textId="6BD49F63" w:rsidR="005C4774" w:rsidRPr="00E870C3" w:rsidRDefault="0096020E" w:rsidP="00E870C3">
      <w:pPr>
        <w:jc w:val="distribute"/>
        <w:rPr>
          <w:rFonts w:ascii="FrankRuehl" w:hAnsi="FrankRuehl" w:cs="FrankRuehl"/>
          <w:sz w:val="26"/>
          <w:szCs w:val="26"/>
          <w:rtl/>
        </w:rPr>
      </w:pPr>
      <w:r w:rsidRPr="00E870C3">
        <w:rPr>
          <w:rStyle w:val="af2"/>
          <w:rFonts w:hint="cs"/>
          <w:rtl/>
        </w:rPr>
        <w:t>ובטעם</w:t>
      </w:r>
      <w:r w:rsidRPr="00E870C3">
        <w:rPr>
          <w:rFonts w:ascii="FrankRuehl" w:hAnsi="FrankRuehl" w:cs="FrankRuehl" w:hint="cs"/>
          <w:sz w:val="26"/>
          <w:szCs w:val="26"/>
          <w:rtl/>
        </w:rPr>
        <w:t xml:space="preserve"> החילוק בין מושבע מפי עצמו </w:t>
      </w:r>
      <w:r w:rsidR="00E870C3">
        <w:rPr>
          <w:rFonts w:ascii="FrankRuehl" w:hAnsi="FrankRuehl" w:cs="FrankRuehl"/>
          <w:sz w:val="26"/>
          <w:szCs w:val="26"/>
          <w:rtl/>
        </w:rPr>
        <w:br/>
      </w:r>
      <w:r w:rsidR="00E870C3" w:rsidRPr="00E870C3">
        <w:rPr>
          <w:rFonts w:ascii="FrankRuehl" w:hAnsi="FrankRuehl" w:cs="FrankRuehl"/>
          <w:spacing w:val="820"/>
          <w:sz w:val="26"/>
          <w:szCs w:val="26"/>
          <w:rtl/>
        </w:rPr>
        <w:t> </w:t>
      </w:r>
      <w:r w:rsidRPr="00E870C3">
        <w:rPr>
          <w:rFonts w:ascii="FrankRuehl" w:hAnsi="FrankRuehl" w:cs="FrankRuehl" w:hint="cs"/>
          <w:sz w:val="26"/>
          <w:szCs w:val="26"/>
          <w:rtl/>
        </w:rPr>
        <w:t xml:space="preserve">למושבע מפי אחרים, שביארנו שהוא מטעם ששבועה מפי עצמו פחות חמורה לו, מאשר כשהוא נשבע מפי עצמו, וכעין זה מצינו בדברי הב"ח, </w:t>
      </w:r>
      <w:r w:rsidR="004829C5" w:rsidRPr="00E870C3">
        <w:rPr>
          <w:rFonts w:ascii="FrankRuehl" w:hAnsi="FrankRuehl" w:cs="FrankRuehl" w:hint="cs"/>
          <w:sz w:val="26"/>
          <w:szCs w:val="26"/>
          <w:rtl/>
        </w:rPr>
        <w:t>(</w:t>
      </w:r>
      <w:hyperlink r:id="rId9" w:history="1">
        <w:r w:rsidR="004829C5" w:rsidRPr="00E870C3">
          <w:rPr>
            <w:rStyle w:val="Hyperlink"/>
            <w:rFonts w:ascii="FrankRuehl" w:hAnsi="FrankRuehl" w:cs="FrankRuehl" w:hint="cs"/>
            <w:sz w:val="26"/>
            <w:szCs w:val="26"/>
            <w:u w:val="none"/>
            <w:rtl/>
          </w:rPr>
          <w:t>יו</w:t>
        </w:r>
        <w:r w:rsidR="004829C5" w:rsidRPr="00E870C3">
          <w:rPr>
            <w:rStyle w:val="Hyperlink"/>
            <w:rFonts w:ascii="FrankRuehl" w:hAnsi="FrankRuehl" w:cs="FrankRuehl"/>
            <w:sz w:val="26"/>
            <w:szCs w:val="26"/>
            <w:u w:val="none"/>
            <w:rtl/>
          </w:rPr>
          <w:t>"ד סי' רלז ס"ק יד</w:t>
        </w:r>
      </w:hyperlink>
      <w:r w:rsidR="004829C5" w:rsidRPr="00E870C3">
        <w:rPr>
          <w:rFonts w:ascii="FrankRuehl" w:hAnsi="FrankRuehl" w:cs="FrankRuehl" w:hint="cs"/>
          <w:sz w:val="26"/>
          <w:szCs w:val="26"/>
          <w:rtl/>
        </w:rPr>
        <w:t xml:space="preserve">) </w:t>
      </w:r>
      <w:r w:rsidR="00E57170" w:rsidRPr="00E870C3">
        <w:rPr>
          <w:rFonts w:ascii="FrankRuehl" w:hAnsi="FrankRuehl" w:cs="FrankRuehl" w:hint="cs"/>
          <w:sz w:val="26"/>
          <w:szCs w:val="26"/>
          <w:rtl/>
        </w:rPr>
        <w:t>דברי ר"ת בנדרים, שכתב דדווקא שבועה מפי אחרים צריך הזכרת השם, ואילו שבועה מפי עצמו אין צריכה הזכרת שם, וביאר הב"ח שהחילוק בין מושבע מפי עצמו למושבע מפי אחרים היינו האם הוא מחויב שבועה או שאינו מחויב שבועה, ושבועת ביטוי היא לעולם נחשבת שבועה מפי עצמו</w:t>
      </w:r>
      <w:r w:rsidR="003650DB" w:rsidRPr="00E870C3">
        <w:rPr>
          <w:rFonts w:ascii="FrankRuehl" w:hAnsi="FrankRuehl" w:cs="FrankRuehl" w:hint="cs"/>
          <w:sz w:val="26"/>
          <w:szCs w:val="26"/>
          <w:rtl/>
        </w:rPr>
        <w:t>, והעמיד הב"ח שתוס' חלקו על הר"ת.</w:t>
      </w:r>
      <w:r w:rsidR="00E870C3">
        <w:rPr>
          <w:rFonts w:ascii="FrankRuehl" w:hAnsi="FrankRuehl" w:cs="FrankRuehl"/>
          <w:sz w:val="26"/>
          <w:szCs w:val="26"/>
          <w:rtl/>
        </w:rPr>
        <w:tab/>
      </w:r>
    </w:p>
    <w:p w14:paraId="342A10C9" w14:textId="56F3883B" w:rsidR="003650DB" w:rsidRPr="00E870C3" w:rsidRDefault="00E57170" w:rsidP="00E870C3">
      <w:pPr>
        <w:jc w:val="distribute"/>
        <w:rPr>
          <w:rFonts w:ascii="FrankRuehl" w:hAnsi="FrankRuehl" w:cs="FrankRuehl"/>
          <w:sz w:val="26"/>
          <w:szCs w:val="26"/>
          <w:rtl/>
        </w:rPr>
      </w:pPr>
      <w:r w:rsidRPr="00E870C3">
        <w:rPr>
          <w:rStyle w:val="af2"/>
          <w:rFonts w:hint="cs"/>
          <w:rtl/>
        </w:rPr>
        <w:lastRenderedPageBreak/>
        <w:t>ובפשטות</w:t>
      </w:r>
      <w:r w:rsidRPr="00E870C3">
        <w:rPr>
          <w:rFonts w:ascii="FrankRuehl" w:hAnsi="FrankRuehl" w:cs="FrankRuehl" w:hint="cs"/>
          <w:sz w:val="26"/>
          <w:szCs w:val="26"/>
          <w:rtl/>
        </w:rPr>
        <w:t xml:space="preserve"> דברי הב"ח הם כדברי הרש"ש </w:t>
      </w:r>
      <w:r w:rsidR="00E870C3">
        <w:rPr>
          <w:rFonts w:ascii="FrankRuehl" w:hAnsi="FrankRuehl" w:cs="FrankRuehl"/>
          <w:sz w:val="26"/>
          <w:szCs w:val="26"/>
          <w:rtl/>
        </w:rPr>
        <w:br/>
      </w:r>
      <w:r w:rsidR="00E870C3" w:rsidRPr="00E870C3">
        <w:rPr>
          <w:rFonts w:ascii="FrankRuehl" w:hAnsi="FrankRuehl" w:cs="FrankRuehl"/>
          <w:spacing w:val="1040"/>
          <w:sz w:val="26"/>
          <w:szCs w:val="26"/>
          <w:rtl/>
        </w:rPr>
        <w:t> </w:t>
      </w:r>
      <w:r w:rsidRPr="00E870C3">
        <w:rPr>
          <w:rFonts w:ascii="FrankRuehl" w:hAnsi="FrankRuehl" w:cs="FrankRuehl" w:hint="cs"/>
          <w:sz w:val="26"/>
          <w:szCs w:val="26"/>
          <w:rtl/>
        </w:rPr>
        <w:t xml:space="preserve">בסוגין, </w:t>
      </w:r>
      <w:r w:rsidR="00C37680" w:rsidRPr="00E870C3">
        <w:rPr>
          <w:rFonts w:ascii="FrankRuehl" w:hAnsi="FrankRuehl" w:cs="FrankRuehl" w:hint="cs"/>
          <w:sz w:val="26"/>
          <w:szCs w:val="26"/>
          <w:rtl/>
        </w:rPr>
        <w:t xml:space="preserve">שהרי כתב הב"ח </w:t>
      </w:r>
      <w:r w:rsidR="00E00CAE" w:rsidRPr="00E870C3">
        <w:rPr>
          <w:rFonts w:ascii="FrankRuehl" w:hAnsi="FrankRuehl" w:cs="FrankRuehl" w:hint="cs"/>
          <w:sz w:val="26"/>
          <w:szCs w:val="26"/>
          <w:rtl/>
        </w:rPr>
        <w:t>שהחילוק הוא האם זה בע"כ או שאי"ז בע"</w:t>
      </w:r>
      <w:r w:rsidR="001C6235" w:rsidRPr="00E870C3">
        <w:rPr>
          <w:rFonts w:ascii="FrankRuehl" w:hAnsi="FrankRuehl" w:cs="FrankRuehl" w:hint="cs"/>
          <w:sz w:val="26"/>
          <w:szCs w:val="26"/>
          <w:rtl/>
        </w:rPr>
        <w:t xml:space="preserve">כ, </w:t>
      </w:r>
      <w:r w:rsidR="003650DB" w:rsidRPr="00E870C3">
        <w:rPr>
          <w:rFonts w:ascii="FrankRuehl" w:hAnsi="FrankRuehl" w:cs="FrankRuehl" w:hint="cs"/>
          <w:sz w:val="26"/>
          <w:szCs w:val="26"/>
          <w:rtl/>
        </w:rPr>
        <w:t>ולדברי הרש"ש הרי תוס' בסוגין נשארו בזה בצ"ע, ולדבריהם היכא שהוא מושבע מפי אחרים אף שזה בע"כ אינו חייב בנקיטת חפץ.</w:t>
      </w:r>
      <w:r w:rsidR="00E870C3">
        <w:rPr>
          <w:rFonts w:ascii="FrankRuehl" w:hAnsi="FrankRuehl" w:cs="FrankRuehl"/>
          <w:sz w:val="26"/>
          <w:szCs w:val="26"/>
          <w:rtl/>
        </w:rPr>
        <w:tab/>
      </w:r>
    </w:p>
    <w:p w14:paraId="722EFECF" w14:textId="57BE3598" w:rsidR="00E57170" w:rsidRPr="00E870C3" w:rsidRDefault="00116682" w:rsidP="00E870C3">
      <w:pPr>
        <w:jc w:val="distribute"/>
        <w:rPr>
          <w:rFonts w:ascii="FrankRuehl" w:hAnsi="FrankRuehl" w:cs="FrankRuehl"/>
          <w:sz w:val="26"/>
          <w:szCs w:val="26"/>
          <w:rtl/>
        </w:rPr>
      </w:pPr>
      <w:r w:rsidRPr="00E870C3">
        <w:rPr>
          <w:rStyle w:val="af2"/>
          <w:rFonts w:hint="cs"/>
          <w:rtl/>
        </w:rPr>
        <w:t>א</w:t>
      </w:r>
      <w:r w:rsidR="003650DB" w:rsidRPr="00E870C3">
        <w:rPr>
          <w:rStyle w:val="af2"/>
          <w:rFonts w:hint="cs"/>
          <w:rtl/>
        </w:rPr>
        <w:t>בל</w:t>
      </w:r>
      <w:r w:rsidRPr="00E870C3">
        <w:rPr>
          <w:rFonts w:ascii="FrankRuehl" w:hAnsi="FrankRuehl" w:cs="FrankRuehl" w:hint="cs"/>
          <w:sz w:val="26"/>
          <w:szCs w:val="26"/>
          <w:rtl/>
        </w:rPr>
        <w:t xml:space="preserve"> לדברי המהרש"א שמושבע מפי אחרים </w:t>
      </w:r>
      <w:r w:rsidR="00E870C3">
        <w:rPr>
          <w:rFonts w:ascii="FrankRuehl" w:hAnsi="FrankRuehl" w:cs="FrankRuehl"/>
          <w:sz w:val="26"/>
          <w:szCs w:val="26"/>
          <w:rtl/>
        </w:rPr>
        <w:br/>
      </w:r>
      <w:r w:rsidR="00E870C3" w:rsidRPr="00E870C3">
        <w:rPr>
          <w:rFonts w:ascii="FrankRuehl" w:hAnsi="FrankRuehl" w:cs="FrankRuehl"/>
          <w:spacing w:val="470"/>
          <w:sz w:val="26"/>
          <w:szCs w:val="26"/>
          <w:rtl/>
        </w:rPr>
        <w:t> </w:t>
      </w:r>
      <w:r w:rsidRPr="00E870C3">
        <w:rPr>
          <w:rFonts w:ascii="FrankRuehl" w:hAnsi="FrankRuehl" w:cs="FrankRuehl" w:hint="cs"/>
          <w:sz w:val="26"/>
          <w:szCs w:val="26"/>
          <w:rtl/>
        </w:rPr>
        <w:t>היינו באומר אמן, ולא תלוי אם זה בע"כ או ברצונו, א"כ</w:t>
      </w:r>
      <w:r w:rsidR="003650DB" w:rsidRPr="00E870C3">
        <w:rPr>
          <w:rFonts w:ascii="FrankRuehl" w:hAnsi="FrankRuehl" w:cs="FrankRuehl" w:hint="cs"/>
          <w:sz w:val="26"/>
          <w:szCs w:val="26"/>
          <w:rtl/>
        </w:rPr>
        <w:t xml:space="preserve"> אפשר שתוס' מודו לר"ת שכל שהוא חייב להישבע בעינן נקיטת חפץ, וכל דברי התוס' הם היכא שאינו חייב להישבע, רק נשבע ע"י אחרים ואומר אמן, וע"ז נשארו התוס' בצ"ע, אמנם כ"ז דווקא אי נימא שנקיטת חפץ ושבועה בשם זה היינו אך, אבל אם אי"ז תלוי זה בזה, לא שייך כלל דברי התוס' הכא לדברי הר"ת.</w:t>
      </w:r>
      <w:r w:rsidR="00E870C3">
        <w:rPr>
          <w:rFonts w:ascii="FrankRuehl" w:hAnsi="FrankRuehl" w:cs="FrankRuehl"/>
          <w:sz w:val="26"/>
          <w:szCs w:val="26"/>
          <w:rtl/>
        </w:rPr>
        <w:tab/>
      </w:r>
    </w:p>
    <w:p w14:paraId="2043A33E" w14:textId="2A6B8AC0" w:rsidR="00E870C3" w:rsidRPr="00E870C3" w:rsidRDefault="00E870C3" w:rsidP="00E870C3">
      <w:pPr>
        <w:pStyle w:val="2"/>
        <w:rPr>
          <w:rtl/>
        </w:rPr>
      </w:pPr>
      <w:r w:rsidRPr="00E870C3">
        <w:rPr>
          <w:rFonts w:hint="cs"/>
          <w:rtl/>
        </w:rPr>
        <w:t>קושית התומים, בהא שנשבע בלא נקיטת חפץ הוא חוזר ונשבע</w:t>
      </w:r>
    </w:p>
    <w:p w14:paraId="0FB5B6B5" w14:textId="371AF338" w:rsidR="003650DB" w:rsidRPr="00E870C3" w:rsidRDefault="003650DB" w:rsidP="00E870C3">
      <w:pPr>
        <w:jc w:val="distribute"/>
        <w:rPr>
          <w:rFonts w:ascii="FrankRuehl" w:hAnsi="FrankRuehl" w:cs="FrankRuehl"/>
          <w:sz w:val="26"/>
          <w:szCs w:val="26"/>
          <w:rtl/>
        </w:rPr>
      </w:pPr>
      <w:r w:rsidRPr="00E870C3">
        <w:rPr>
          <w:rStyle w:val="af2"/>
          <w:rFonts w:hint="cs"/>
          <w:rtl/>
        </w:rPr>
        <w:t>הקשה</w:t>
      </w:r>
      <w:r w:rsidRPr="00E870C3">
        <w:rPr>
          <w:rFonts w:ascii="FrankRuehl" w:hAnsi="FrankRuehl" w:cs="FrankRuehl" w:hint="cs"/>
          <w:sz w:val="26"/>
          <w:szCs w:val="26"/>
          <w:rtl/>
        </w:rPr>
        <w:t xml:space="preserve"> התומים על המבואר בדברי הגמ' שכל </w:t>
      </w:r>
      <w:r w:rsidR="00E870C3">
        <w:rPr>
          <w:rFonts w:ascii="FrankRuehl" w:hAnsi="FrankRuehl" w:cs="FrankRuehl"/>
          <w:sz w:val="26"/>
          <w:szCs w:val="26"/>
          <w:rtl/>
        </w:rPr>
        <w:br/>
      </w:r>
      <w:r w:rsidR="00E870C3" w:rsidRPr="00E870C3">
        <w:rPr>
          <w:rFonts w:ascii="FrankRuehl" w:hAnsi="FrankRuehl" w:cs="FrankRuehl"/>
          <w:spacing w:val="660"/>
          <w:sz w:val="26"/>
          <w:szCs w:val="26"/>
          <w:rtl/>
        </w:rPr>
        <w:t> </w:t>
      </w:r>
      <w:r w:rsidRPr="00E870C3">
        <w:rPr>
          <w:rFonts w:ascii="FrankRuehl" w:hAnsi="FrankRuehl" w:cs="FrankRuehl" w:hint="cs"/>
          <w:sz w:val="26"/>
          <w:szCs w:val="26"/>
          <w:rtl/>
        </w:rPr>
        <w:t xml:space="preserve">שנשבע בלא נקיטת חפץ, הרי הוא טועה בדבר משנה וחוזר ונשבע, והרי הטעם שאנו חוזרים ומשביעים אותו הוא משום שבלא זה </w:t>
      </w:r>
      <w:r w:rsidR="00E76A8E" w:rsidRPr="00E870C3">
        <w:rPr>
          <w:rFonts w:ascii="FrankRuehl" w:hAnsi="FrankRuehl" w:cs="FrankRuehl" w:hint="cs"/>
          <w:sz w:val="26"/>
          <w:szCs w:val="26"/>
          <w:rtl/>
        </w:rPr>
        <w:t>אנו חושדים אותו שאינו נשבע אמת, שכל הטעם שמשביעין אותו בנקיטת חפץ הוא כדי לאיים עליו שיאמר אמת (וכדברי הרא"ש לעיל), וא"כ נמצא שאנו חושדין אותו כיום על השבועה, וכל שחשוד על השבועה אין מניחין אותו להישבע, ושכנגדו ישבע ויטול, ואמאי הכא חוזר ונשבע.</w:t>
      </w:r>
      <w:r w:rsidR="00E870C3">
        <w:rPr>
          <w:rFonts w:ascii="FrankRuehl" w:hAnsi="FrankRuehl" w:cs="FrankRuehl"/>
          <w:sz w:val="26"/>
          <w:szCs w:val="26"/>
          <w:rtl/>
        </w:rPr>
        <w:tab/>
      </w:r>
    </w:p>
    <w:p w14:paraId="4F9A647A" w14:textId="1FF16D82" w:rsidR="00E76A8E" w:rsidRPr="00E870C3" w:rsidRDefault="00E76A8E" w:rsidP="00E870C3">
      <w:pPr>
        <w:jc w:val="distribute"/>
        <w:rPr>
          <w:rFonts w:ascii="FrankRuehl" w:hAnsi="FrankRuehl" w:cs="FrankRuehl"/>
          <w:sz w:val="26"/>
          <w:szCs w:val="26"/>
          <w:rtl/>
        </w:rPr>
      </w:pPr>
      <w:r w:rsidRPr="00E870C3">
        <w:rPr>
          <w:rStyle w:val="af2"/>
          <w:rFonts w:hint="cs"/>
          <w:rtl/>
        </w:rPr>
        <w:t>ותי'</w:t>
      </w:r>
      <w:r w:rsidRPr="00E870C3">
        <w:rPr>
          <w:rFonts w:ascii="FrankRuehl" w:hAnsi="FrankRuehl" w:cs="FrankRuehl" w:hint="cs"/>
          <w:sz w:val="26"/>
          <w:szCs w:val="26"/>
          <w:rtl/>
        </w:rPr>
        <w:t xml:space="preserve"> התומים</w:t>
      </w:r>
      <w:r w:rsidR="00482EBB" w:rsidRPr="00E870C3">
        <w:rPr>
          <w:rFonts w:ascii="FrankRuehl" w:hAnsi="FrankRuehl" w:cs="FrankRuehl" w:hint="cs"/>
          <w:sz w:val="26"/>
          <w:szCs w:val="26"/>
          <w:rtl/>
        </w:rPr>
        <w:t xml:space="preserve"> (סי' פז סל"ד)</w:t>
      </w:r>
      <w:r w:rsidRPr="00E870C3">
        <w:rPr>
          <w:rFonts w:ascii="FrankRuehl" w:hAnsi="FrankRuehl" w:cs="FrankRuehl" w:hint="cs"/>
          <w:sz w:val="26"/>
          <w:szCs w:val="26"/>
          <w:rtl/>
        </w:rPr>
        <w:t xml:space="preserve"> שאין אנו משביעין </w:t>
      </w:r>
      <w:r w:rsidR="00E870C3">
        <w:rPr>
          <w:rFonts w:ascii="FrankRuehl" w:hAnsi="FrankRuehl" w:cs="FrankRuehl"/>
          <w:sz w:val="26"/>
          <w:szCs w:val="26"/>
          <w:rtl/>
        </w:rPr>
        <w:br/>
      </w:r>
      <w:r w:rsidR="00E870C3" w:rsidRPr="00E870C3">
        <w:rPr>
          <w:rFonts w:ascii="FrankRuehl" w:hAnsi="FrankRuehl" w:cs="FrankRuehl"/>
          <w:spacing w:val="390"/>
          <w:sz w:val="26"/>
          <w:szCs w:val="26"/>
          <w:rtl/>
        </w:rPr>
        <w:t> </w:t>
      </w:r>
      <w:r w:rsidRPr="00E870C3">
        <w:rPr>
          <w:rFonts w:ascii="FrankRuehl" w:hAnsi="FrankRuehl" w:cs="FrankRuehl" w:hint="cs"/>
          <w:sz w:val="26"/>
          <w:szCs w:val="26"/>
          <w:rtl/>
        </w:rPr>
        <w:t>אות שוב מפני שאנו חושדים בו שלא נשבע אמת, אלא מטעם שכך קבעו חכמים צורת השבועה, וכל שלא נשבע כדרך שקבעו חכמים, יחזור וישבע, והכל הוא מעיקר התקנת חכמים, ו</w:t>
      </w:r>
      <w:r w:rsidR="00E870C3" w:rsidRPr="00E870C3">
        <w:rPr>
          <w:rFonts w:ascii="FrankRuehl" w:hAnsi="FrankRuehl" w:cs="FrankRuehl" w:hint="cs"/>
          <w:sz w:val="26"/>
          <w:szCs w:val="26"/>
          <w:rtl/>
        </w:rPr>
        <w:t>נראה ד</w:t>
      </w:r>
      <w:r w:rsidRPr="00E870C3">
        <w:rPr>
          <w:rFonts w:ascii="FrankRuehl" w:hAnsi="FrankRuehl" w:cs="FrankRuehl" w:hint="cs"/>
          <w:sz w:val="26"/>
          <w:szCs w:val="26"/>
          <w:rtl/>
        </w:rPr>
        <w:t>הטעם שקבעו חכמים כן הוא משום שאם לא נשביעו שוב, כל אדם יקפוץ וישבע בלא נקיטת חפץ, ונמצאת תקנת נקיטת חפץ</w:t>
      </w:r>
      <w:r w:rsidR="005626FD" w:rsidRPr="00E870C3">
        <w:rPr>
          <w:rFonts w:ascii="FrankRuehl" w:hAnsi="FrankRuehl" w:cs="FrankRuehl" w:hint="cs"/>
          <w:sz w:val="26"/>
          <w:szCs w:val="26"/>
          <w:rtl/>
        </w:rPr>
        <w:t xml:space="preserve"> בטלה, וכן תי' הקצוה"ח שם.</w:t>
      </w:r>
      <w:r w:rsidR="00E870C3">
        <w:rPr>
          <w:rFonts w:ascii="FrankRuehl" w:hAnsi="FrankRuehl" w:cs="FrankRuehl"/>
          <w:sz w:val="26"/>
          <w:szCs w:val="26"/>
          <w:rtl/>
        </w:rPr>
        <w:tab/>
      </w:r>
    </w:p>
    <w:p w14:paraId="587267BC" w14:textId="0C02D69E" w:rsidR="005626FD" w:rsidRPr="00E870C3" w:rsidRDefault="005626FD" w:rsidP="00E870C3">
      <w:pPr>
        <w:jc w:val="distribute"/>
        <w:rPr>
          <w:rFonts w:ascii="FrankRuehl" w:hAnsi="FrankRuehl" w:cs="FrankRuehl"/>
          <w:sz w:val="26"/>
          <w:szCs w:val="26"/>
          <w:rtl/>
        </w:rPr>
      </w:pPr>
      <w:r w:rsidRPr="00E870C3">
        <w:rPr>
          <w:rStyle w:val="af2"/>
          <w:rFonts w:hint="cs"/>
          <w:rtl/>
        </w:rPr>
        <w:t>וכדבריו</w:t>
      </w:r>
      <w:r w:rsidRPr="00E870C3">
        <w:rPr>
          <w:rFonts w:ascii="FrankRuehl" w:hAnsi="FrankRuehl" w:cs="FrankRuehl" w:hint="cs"/>
          <w:sz w:val="26"/>
          <w:szCs w:val="26"/>
          <w:rtl/>
        </w:rPr>
        <w:t xml:space="preserve"> אלו מצאנו במאירי</w:t>
      </w:r>
      <w:r w:rsidRPr="00E870C3">
        <w:rPr>
          <w:rFonts w:ascii="FrankRuehl" w:eastAsia="Times New Roman" w:hAnsi="FrankRuehl" w:cs="FrankRuehl"/>
          <w:color w:val="auto"/>
          <w:kern w:val="0"/>
          <w:sz w:val="26"/>
          <w:szCs w:val="26"/>
          <w:rtl/>
          <w14:ligatures w14:val="none"/>
        </w:rPr>
        <w:t xml:space="preserve"> </w:t>
      </w:r>
      <w:r w:rsidRPr="00E870C3">
        <w:rPr>
          <w:rFonts w:ascii="FrankRuehl" w:hAnsi="FrankRuehl" w:cs="FrankRuehl" w:hint="cs"/>
          <w:sz w:val="26"/>
          <w:szCs w:val="26"/>
          <w:rtl/>
        </w:rPr>
        <w:t>"</w:t>
      </w:r>
      <w:r w:rsidRPr="00E870C3">
        <w:rPr>
          <w:rFonts w:ascii="FrankRuehl" w:hAnsi="FrankRuehl" w:cs="FrankRuehl"/>
          <w:sz w:val="26"/>
          <w:szCs w:val="26"/>
          <w:rtl/>
        </w:rPr>
        <w:t xml:space="preserve">מפני שלא עשו </w:t>
      </w:r>
      <w:r w:rsidR="00E870C3">
        <w:rPr>
          <w:rFonts w:ascii="FrankRuehl" w:hAnsi="FrankRuehl" w:cs="FrankRuehl"/>
          <w:sz w:val="26"/>
          <w:szCs w:val="26"/>
          <w:rtl/>
        </w:rPr>
        <w:br/>
      </w:r>
      <w:r w:rsidR="00E870C3" w:rsidRPr="00E870C3">
        <w:rPr>
          <w:rFonts w:ascii="FrankRuehl" w:hAnsi="FrankRuehl" w:cs="FrankRuehl"/>
          <w:spacing w:val="790"/>
          <w:sz w:val="26"/>
          <w:szCs w:val="26"/>
          <w:rtl/>
        </w:rPr>
        <w:t> </w:t>
      </w:r>
      <w:r w:rsidRPr="00E870C3">
        <w:rPr>
          <w:rFonts w:ascii="FrankRuehl" w:hAnsi="FrankRuehl" w:cs="FrankRuehl"/>
          <w:sz w:val="26"/>
          <w:szCs w:val="26"/>
          <w:rtl/>
        </w:rPr>
        <w:t>בו כדינו ואין להם להקל</w:t>
      </w:r>
      <w:r w:rsidRPr="00E870C3">
        <w:rPr>
          <w:rFonts w:ascii="FrankRuehl" w:hAnsi="FrankRuehl" w:cs="FrankRuehl" w:hint="cs"/>
          <w:sz w:val="26"/>
          <w:szCs w:val="26"/>
          <w:rtl/>
        </w:rPr>
        <w:t xml:space="preserve">", ודבריו כדברי התומים, אלא שבדבריו אף מוכח שגם אם נקיטת חפץ דאו' צריך להגיע לסברה זו, </w:t>
      </w:r>
      <w:r w:rsidRPr="00E870C3">
        <w:rPr>
          <w:rFonts w:ascii="FrankRuehl" w:hAnsi="FrankRuehl" w:cs="FrankRuehl" w:hint="cs"/>
          <w:sz w:val="26"/>
          <w:szCs w:val="26"/>
          <w:rtl/>
        </w:rPr>
        <w:t>שבלא זה מי שהוא חשוד לעבור שבועה מדברי סופרים הוא חשוד גם לעבור על שבועה מן התורה.</w:t>
      </w:r>
      <w:r w:rsidR="00E870C3">
        <w:rPr>
          <w:rFonts w:ascii="FrankRuehl" w:hAnsi="FrankRuehl" w:cs="FrankRuehl"/>
          <w:sz w:val="26"/>
          <w:szCs w:val="26"/>
          <w:rtl/>
        </w:rPr>
        <w:tab/>
      </w:r>
    </w:p>
    <w:p w14:paraId="4354318F" w14:textId="5A14A0B7" w:rsidR="00E870C3" w:rsidRPr="00E870C3" w:rsidRDefault="00E870C3" w:rsidP="00E870C3">
      <w:pPr>
        <w:pStyle w:val="3"/>
        <w:rPr>
          <w:rtl/>
        </w:rPr>
      </w:pPr>
      <w:r w:rsidRPr="00E870C3">
        <w:rPr>
          <w:rFonts w:hint="cs"/>
          <w:rtl/>
        </w:rPr>
        <w:t>תי' הנתיבות שרבנן לא הפקיעו בכה"ג דין דאו'</w:t>
      </w:r>
    </w:p>
    <w:p w14:paraId="519934E3" w14:textId="63F01C53" w:rsidR="005626FD" w:rsidRPr="00E870C3" w:rsidRDefault="00505C77" w:rsidP="00E870C3">
      <w:pPr>
        <w:jc w:val="distribute"/>
        <w:rPr>
          <w:rFonts w:ascii="FrankRuehl" w:hAnsi="FrankRuehl" w:cs="FrankRuehl"/>
          <w:sz w:val="26"/>
          <w:szCs w:val="26"/>
          <w:rtl/>
        </w:rPr>
      </w:pPr>
      <w:r w:rsidRPr="00E870C3">
        <w:rPr>
          <w:rStyle w:val="af2"/>
          <w:rFonts w:hint="cs"/>
          <w:rtl/>
        </w:rPr>
        <w:t>ובנתיבות</w:t>
      </w:r>
      <w:r w:rsidRPr="00E870C3">
        <w:rPr>
          <w:rFonts w:ascii="FrankRuehl" w:hAnsi="FrankRuehl" w:cs="FrankRuehl" w:hint="cs"/>
          <w:sz w:val="26"/>
          <w:szCs w:val="26"/>
          <w:rtl/>
        </w:rPr>
        <w:t xml:space="preserve"> המשפט (שם) ביאר באופן אחר, </w:t>
      </w:r>
      <w:r w:rsidR="00E870C3">
        <w:rPr>
          <w:rFonts w:ascii="FrankRuehl" w:hAnsi="FrankRuehl" w:cs="FrankRuehl"/>
          <w:sz w:val="26"/>
          <w:szCs w:val="26"/>
          <w:rtl/>
        </w:rPr>
        <w:br/>
      </w:r>
      <w:r w:rsidR="00E870C3" w:rsidRPr="00E870C3">
        <w:rPr>
          <w:rFonts w:ascii="FrankRuehl" w:hAnsi="FrankRuehl" w:cs="FrankRuehl"/>
          <w:spacing w:val="1010"/>
          <w:sz w:val="26"/>
          <w:szCs w:val="26"/>
          <w:rtl/>
        </w:rPr>
        <w:t> </w:t>
      </w:r>
      <w:r w:rsidRPr="00E870C3">
        <w:rPr>
          <w:rFonts w:ascii="FrankRuehl" w:hAnsi="FrankRuehl" w:cs="FrankRuehl" w:hint="cs"/>
          <w:sz w:val="26"/>
          <w:szCs w:val="26"/>
          <w:rtl/>
        </w:rPr>
        <w:t>שכיון שכל דין חשוד, הוא דין דרבנן, שלא הניחו לו רבנן להישבע, כיון דחשדינן ליה בשיקרא, וע"י דין זה שאסרו רבנן לחשוד להישבע, הרי הם מפקיעים חיוב דאו' של שבועה, וכיון שהכא כל החשש הוא רק ספק בעלמא, מספק לא הפקיעו רבנן חיוב שבועה דאו', ודווקא איפה שהוא חשוד וודאי, הפקיעו רבנן שבועה דאו' ואסרו עליו להישבע.</w:t>
      </w:r>
      <w:r w:rsidR="00E870C3">
        <w:rPr>
          <w:rFonts w:ascii="FrankRuehl" w:hAnsi="FrankRuehl" w:cs="FrankRuehl"/>
          <w:sz w:val="26"/>
          <w:szCs w:val="26"/>
          <w:rtl/>
        </w:rPr>
        <w:tab/>
      </w:r>
    </w:p>
    <w:p w14:paraId="52E42920" w14:textId="51F1CA9A" w:rsidR="00E870C3" w:rsidRPr="00E870C3" w:rsidRDefault="00E870C3" w:rsidP="00E870C3">
      <w:pPr>
        <w:pStyle w:val="3"/>
        <w:rPr>
          <w:rtl/>
        </w:rPr>
      </w:pPr>
      <w:r w:rsidRPr="00E870C3">
        <w:rPr>
          <w:rFonts w:hint="cs"/>
          <w:rtl/>
        </w:rPr>
        <w:t>תי' החזו"א</w:t>
      </w:r>
    </w:p>
    <w:p w14:paraId="683C2243" w14:textId="0D7B8D73" w:rsidR="00505C77" w:rsidRPr="00E870C3" w:rsidRDefault="00505C77" w:rsidP="00E870C3">
      <w:pPr>
        <w:jc w:val="distribute"/>
        <w:rPr>
          <w:rFonts w:ascii="FrankRuehl" w:hAnsi="FrankRuehl" w:cs="FrankRuehl"/>
          <w:sz w:val="26"/>
          <w:szCs w:val="26"/>
          <w:rtl/>
        </w:rPr>
      </w:pPr>
      <w:r w:rsidRPr="00E870C3">
        <w:rPr>
          <w:rStyle w:val="af2"/>
          <w:rFonts w:hint="cs"/>
          <w:rtl/>
        </w:rPr>
        <w:t>ובחזו"א</w:t>
      </w:r>
      <w:r w:rsidRPr="00E870C3">
        <w:rPr>
          <w:rFonts w:ascii="FrankRuehl" w:hAnsi="FrankRuehl" w:cs="FrankRuehl" w:hint="cs"/>
          <w:sz w:val="26"/>
          <w:szCs w:val="26"/>
          <w:rtl/>
        </w:rPr>
        <w:t xml:space="preserve"> כתב טעם אחר ששבועה בנקיטת </w:t>
      </w:r>
      <w:r w:rsidR="00E870C3">
        <w:rPr>
          <w:rFonts w:ascii="FrankRuehl" w:hAnsi="FrankRuehl" w:cs="FrankRuehl"/>
          <w:sz w:val="26"/>
          <w:szCs w:val="26"/>
          <w:rtl/>
        </w:rPr>
        <w:br/>
      </w:r>
      <w:r w:rsidR="00E870C3" w:rsidRPr="00E870C3">
        <w:rPr>
          <w:rFonts w:ascii="FrankRuehl" w:hAnsi="FrankRuehl" w:cs="FrankRuehl"/>
          <w:spacing w:val="890"/>
          <w:sz w:val="26"/>
          <w:szCs w:val="26"/>
          <w:rtl/>
        </w:rPr>
        <w:t> </w:t>
      </w:r>
      <w:r w:rsidRPr="00E870C3">
        <w:rPr>
          <w:rFonts w:ascii="FrankRuehl" w:hAnsi="FrankRuehl" w:cs="FrankRuehl" w:hint="cs"/>
          <w:sz w:val="26"/>
          <w:szCs w:val="26"/>
          <w:rtl/>
        </w:rPr>
        <w:t>חפץ היא שבועה חמורה יותר, וכיון שהיא חמורה יותר הרי הבירור שמגיעה מכוחה הוא בירור גדול יותר, וכיון ששבועה היא זכות שנתנה תורה לתובע, לתבוע מחברו שיברר את טענותיו, א"כ עד כמה שכל החשש הוא רק בספק, אין לי מכח ספק להפסיד את לתובע את זכותו לקבל בירור נוסף לטענתו.</w:t>
      </w:r>
      <w:r w:rsidR="00E870C3">
        <w:rPr>
          <w:rFonts w:ascii="FrankRuehl" w:hAnsi="FrankRuehl" w:cs="FrankRuehl"/>
          <w:sz w:val="26"/>
          <w:szCs w:val="26"/>
          <w:rtl/>
        </w:rPr>
        <w:tab/>
      </w:r>
    </w:p>
    <w:p w14:paraId="3F4FC4EE" w14:textId="0E3B335F" w:rsidR="00E870C3" w:rsidRPr="00E870C3" w:rsidRDefault="00E870C3" w:rsidP="00E870C3">
      <w:pPr>
        <w:pStyle w:val="2"/>
        <w:rPr>
          <w:rtl/>
        </w:rPr>
      </w:pPr>
      <w:r w:rsidRPr="00E870C3">
        <w:rPr>
          <w:rFonts w:hint="cs"/>
          <w:rtl/>
        </w:rPr>
        <w:t>ביסוד דין שבועה</w:t>
      </w:r>
    </w:p>
    <w:p w14:paraId="5363F988" w14:textId="57EE1A77" w:rsidR="00505C77" w:rsidRPr="00E870C3" w:rsidRDefault="00505C77" w:rsidP="00E870C3">
      <w:pPr>
        <w:jc w:val="distribute"/>
        <w:rPr>
          <w:rFonts w:ascii="FrankRuehl" w:hAnsi="FrankRuehl" w:cs="FrankRuehl"/>
          <w:sz w:val="26"/>
          <w:szCs w:val="26"/>
          <w:rtl/>
        </w:rPr>
      </w:pPr>
      <w:r w:rsidRPr="00E870C3">
        <w:rPr>
          <w:rStyle w:val="af2"/>
          <w:rFonts w:hint="cs"/>
          <w:rtl/>
        </w:rPr>
        <w:t>יש</w:t>
      </w:r>
      <w:r w:rsidRPr="00E870C3">
        <w:rPr>
          <w:rFonts w:ascii="FrankRuehl" w:hAnsi="FrankRuehl" w:cs="FrankRuehl" w:hint="cs"/>
          <w:sz w:val="26"/>
          <w:szCs w:val="26"/>
          <w:rtl/>
        </w:rPr>
        <w:t xml:space="preserve"> לדון ביסוד דין שבועה, האם הוא דין הבי"ד </w:t>
      </w:r>
      <w:r w:rsidR="00E870C3">
        <w:rPr>
          <w:rFonts w:ascii="FrankRuehl" w:hAnsi="FrankRuehl" w:cs="FrankRuehl"/>
          <w:sz w:val="26"/>
          <w:szCs w:val="26"/>
          <w:rtl/>
        </w:rPr>
        <w:br/>
      </w:r>
      <w:r w:rsidR="00E870C3" w:rsidRPr="00E870C3">
        <w:rPr>
          <w:rFonts w:ascii="FrankRuehl" w:hAnsi="FrankRuehl" w:cs="FrankRuehl"/>
          <w:spacing w:val="260"/>
          <w:sz w:val="26"/>
          <w:szCs w:val="26"/>
          <w:rtl/>
        </w:rPr>
        <w:t> </w:t>
      </w:r>
      <w:r w:rsidRPr="00E870C3">
        <w:rPr>
          <w:rFonts w:ascii="FrankRuehl" w:hAnsi="FrankRuehl" w:cs="FrankRuehl" w:hint="cs"/>
          <w:sz w:val="26"/>
          <w:szCs w:val="26"/>
          <w:rtl/>
        </w:rPr>
        <w:t>והיינו שבי"ד הם המבררים את הדין, והשבועה היא כלי שיש ביד הדיינים כדי לברר טענותיו, או דלמא שהשבועה היא חלק בטענות התובע והנתבע, והיינו שלתובע יש זכות לדרוש מהנתבע לברר את טענתו</w:t>
      </w:r>
      <w:r w:rsidR="007B5FB5" w:rsidRPr="00E870C3">
        <w:rPr>
          <w:rFonts w:ascii="FrankRuehl" w:hAnsi="FrankRuehl" w:cs="FrankRuehl" w:hint="cs"/>
          <w:sz w:val="26"/>
          <w:szCs w:val="26"/>
          <w:rtl/>
        </w:rPr>
        <w:t>, וברור שהסברא הפשוטה מורה, ששבועה היא בירור,ולא טענה ששייכת לחלק הטוען והנטען.</w:t>
      </w:r>
      <w:r w:rsidR="00E870C3">
        <w:rPr>
          <w:rFonts w:ascii="FrankRuehl" w:hAnsi="FrankRuehl" w:cs="FrankRuehl"/>
          <w:sz w:val="26"/>
          <w:szCs w:val="26"/>
          <w:rtl/>
        </w:rPr>
        <w:tab/>
      </w:r>
    </w:p>
    <w:p w14:paraId="5733DDA2" w14:textId="417C6544" w:rsidR="00E870C3" w:rsidRPr="00E870C3" w:rsidRDefault="00E870C3" w:rsidP="00E870C3">
      <w:pPr>
        <w:pStyle w:val="3"/>
        <w:rPr>
          <w:rtl/>
        </w:rPr>
      </w:pPr>
      <w:r w:rsidRPr="00E870C3">
        <w:rPr>
          <w:rFonts w:hint="cs"/>
          <w:rtl/>
        </w:rPr>
        <w:t>דעת הרשב"א בזה</w:t>
      </w:r>
    </w:p>
    <w:p w14:paraId="1E51541C" w14:textId="647A2F14" w:rsidR="007B5FB5" w:rsidRPr="00E870C3" w:rsidRDefault="007B5FB5" w:rsidP="00E870C3">
      <w:pPr>
        <w:jc w:val="distribute"/>
        <w:rPr>
          <w:rFonts w:ascii="FrankRuehl" w:hAnsi="FrankRuehl" w:cs="FrankRuehl"/>
          <w:sz w:val="26"/>
          <w:szCs w:val="26"/>
          <w:rtl/>
        </w:rPr>
      </w:pPr>
      <w:r w:rsidRPr="00E870C3">
        <w:rPr>
          <w:rStyle w:val="af2"/>
          <w:rFonts w:hint="cs"/>
          <w:rtl/>
        </w:rPr>
        <w:t>וכתב</w:t>
      </w:r>
      <w:r w:rsidRPr="00E870C3">
        <w:rPr>
          <w:rFonts w:ascii="FrankRuehl" w:hAnsi="FrankRuehl" w:cs="FrankRuehl" w:hint="cs"/>
          <w:sz w:val="26"/>
          <w:szCs w:val="26"/>
          <w:rtl/>
        </w:rPr>
        <w:t xml:space="preserve"> בשיטמ"ק (ב"ב לד.) "</w:t>
      </w:r>
      <w:r w:rsidRPr="00E870C3">
        <w:rPr>
          <w:rFonts w:ascii="FrankRuehl" w:hAnsi="FrankRuehl" w:cs="FrankRuehl"/>
          <w:sz w:val="26"/>
          <w:szCs w:val="26"/>
          <w:rtl/>
        </w:rPr>
        <w:t xml:space="preserve">וכתב הרשב"א </w:t>
      </w:r>
      <w:r w:rsidR="00E870C3">
        <w:rPr>
          <w:rFonts w:ascii="FrankRuehl" w:hAnsi="FrankRuehl" w:cs="FrankRuehl"/>
          <w:sz w:val="26"/>
          <w:szCs w:val="26"/>
          <w:rtl/>
        </w:rPr>
        <w:br/>
      </w:r>
      <w:r w:rsidR="00E870C3" w:rsidRPr="00E870C3">
        <w:rPr>
          <w:rFonts w:ascii="FrankRuehl" w:hAnsi="FrankRuehl" w:cs="FrankRuehl"/>
          <w:spacing w:val="570"/>
          <w:sz w:val="26"/>
          <w:szCs w:val="26"/>
          <w:rtl/>
        </w:rPr>
        <w:t> </w:t>
      </w:r>
      <w:r w:rsidRPr="00E870C3">
        <w:rPr>
          <w:rFonts w:ascii="FrankRuehl" w:hAnsi="FrankRuehl" w:cs="FrankRuehl"/>
          <w:sz w:val="26"/>
          <w:szCs w:val="26"/>
          <w:rtl/>
        </w:rPr>
        <w:t>ז"ל וזה לשונו אבל ריב"ם ז"ל כתב דשבועת עד אחד תשלומין נינהו דכי איכא תרי לא מפטר מידי תשלומין בשבועה אלא שלומי משלם וכי ליכא אלא חד פטריה רחמנא מתשלומי ממון ובלבד שישבע</w:t>
      </w:r>
      <w:r w:rsidRPr="00E870C3">
        <w:rPr>
          <w:rFonts w:ascii="FrankRuehl" w:hAnsi="FrankRuehl" w:cs="FrankRuehl" w:hint="cs"/>
          <w:sz w:val="26"/>
          <w:szCs w:val="26"/>
          <w:rtl/>
        </w:rPr>
        <w:t xml:space="preserve">", מבואר מדבריו ששבועה היא תשלומין שחייב הנתבע לתובע, וביאר שזה טעם הדין שמתוך שאינו יכול </w:t>
      </w:r>
      <w:r w:rsidRPr="00E870C3">
        <w:rPr>
          <w:rFonts w:ascii="FrankRuehl" w:hAnsi="FrankRuehl" w:cs="FrankRuehl" w:hint="cs"/>
          <w:sz w:val="26"/>
          <w:szCs w:val="26"/>
          <w:rtl/>
        </w:rPr>
        <w:lastRenderedPageBreak/>
        <w:t>להישבע משלם, שבעלמא יכול להיפטר ע"י תשלום שבועה, ואם לא ישבע הרי יש לו חיוב תשלומים.</w:t>
      </w:r>
      <w:r w:rsidR="00E870C3">
        <w:rPr>
          <w:rFonts w:ascii="FrankRuehl" w:hAnsi="FrankRuehl" w:cs="FrankRuehl"/>
          <w:sz w:val="26"/>
          <w:szCs w:val="26"/>
          <w:rtl/>
        </w:rPr>
        <w:tab/>
      </w:r>
    </w:p>
    <w:p w14:paraId="59A53F42" w14:textId="60A2A70D" w:rsidR="00E870C3" w:rsidRPr="00E870C3" w:rsidRDefault="00E870C3" w:rsidP="00E870C3">
      <w:pPr>
        <w:pStyle w:val="3"/>
        <w:rPr>
          <w:rtl/>
        </w:rPr>
      </w:pPr>
      <w:r w:rsidRPr="00E870C3">
        <w:rPr>
          <w:rFonts w:hint="cs"/>
          <w:rtl/>
        </w:rPr>
        <w:t>ביאור הגרש"ש בדברי הרשב"א</w:t>
      </w:r>
    </w:p>
    <w:p w14:paraId="393B428A" w14:textId="3E6D0907" w:rsidR="007B5FB5" w:rsidRPr="00E870C3" w:rsidRDefault="007B5FB5" w:rsidP="00E870C3">
      <w:pPr>
        <w:jc w:val="distribute"/>
        <w:rPr>
          <w:rFonts w:ascii="FrankRuehl" w:hAnsi="FrankRuehl" w:cs="FrankRuehl"/>
          <w:sz w:val="26"/>
          <w:szCs w:val="26"/>
          <w:rtl/>
        </w:rPr>
      </w:pPr>
      <w:r w:rsidRPr="00E870C3">
        <w:rPr>
          <w:rStyle w:val="af2"/>
          <w:rFonts w:hint="cs"/>
          <w:rtl/>
        </w:rPr>
        <w:t>ובחידושי</w:t>
      </w:r>
      <w:r w:rsidRPr="00E870C3">
        <w:rPr>
          <w:rFonts w:ascii="FrankRuehl" w:hAnsi="FrankRuehl" w:cs="FrankRuehl" w:hint="cs"/>
          <w:sz w:val="26"/>
          <w:szCs w:val="26"/>
          <w:rtl/>
        </w:rPr>
        <w:t xml:space="preserve"> הגרש"ש (ב"ב סי' כב) ביאר את </w:t>
      </w:r>
      <w:r w:rsidR="00E870C3">
        <w:rPr>
          <w:rFonts w:ascii="FrankRuehl" w:hAnsi="FrankRuehl" w:cs="FrankRuehl"/>
          <w:sz w:val="26"/>
          <w:szCs w:val="26"/>
          <w:rtl/>
        </w:rPr>
        <w:br/>
      </w:r>
      <w:r w:rsidR="00E870C3" w:rsidRPr="00E870C3">
        <w:rPr>
          <w:rFonts w:ascii="FrankRuehl" w:hAnsi="FrankRuehl" w:cs="FrankRuehl"/>
          <w:spacing w:val="970"/>
          <w:sz w:val="26"/>
          <w:szCs w:val="26"/>
          <w:rtl/>
        </w:rPr>
        <w:t> </w:t>
      </w:r>
      <w:r w:rsidRPr="00E870C3">
        <w:rPr>
          <w:rFonts w:ascii="FrankRuehl" w:hAnsi="FrankRuehl" w:cs="FrankRuehl" w:hint="cs"/>
          <w:sz w:val="26"/>
          <w:szCs w:val="26"/>
          <w:rtl/>
        </w:rPr>
        <w:t>דבריו, וכתב שאמנם בהשקפה שטחית נראה שיסוד שבועה היא תחבולה להיפטר מתשלומי הממון, אך אינה פעולה חיובית בפני עצמה, ולזה בה הרשב"א ללמדינו ששבועה היא חוב תשלומין, ממש כחוב ממון.</w:t>
      </w:r>
      <w:r w:rsidR="00E870C3">
        <w:rPr>
          <w:rFonts w:ascii="FrankRuehl" w:hAnsi="FrankRuehl" w:cs="FrankRuehl"/>
          <w:sz w:val="26"/>
          <w:szCs w:val="26"/>
          <w:rtl/>
        </w:rPr>
        <w:tab/>
      </w:r>
    </w:p>
    <w:p w14:paraId="53206108" w14:textId="7800278F" w:rsidR="007B5FB5" w:rsidRPr="00E870C3" w:rsidRDefault="007B5FB5" w:rsidP="00E870C3">
      <w:pPr>
        <w:jc w:val="distribute"/>
        <w:rPr>
          <w:rFonts w:ascii="FrankRuehl" w:hAnsi="FrankRuehl" w:cs="FrankRuehl"/>
          <w:sz w:val="26"/>
          <w:szCs w:val="26"/>
          <w:rtl/>
        </w:rPr>
      </w:pPr>
      <w:r w:rsidRPr="00E870C3">
        <w:rPr>
          <w:rStyle w:val="af2"/>
          <w:rFonts w:hint="cs"/>
          <w:rtl/>
        </w:rPr>
        <w:t>ואף</w:t>
      </w:r>
      <w:r w:rsidRPr="00E870C3">
        <w:rPr>
          <w:rFonts w:ascii="FrankRuehl" w:hAnsi="FrankRuehl" w:cs="FrankRuehl" w:hint="cs"/>
          <w:sz w:val="26"/>
          <w:szCs w:val="26"/>
          <w:rtl/>
        </w:rPr>
        <w:t xml:space="preserve"> הביא הגרש"ש הוכחה לדברי הרשב"א </w:t>
      </w:r>
      <w:r w:rsidR="00E870C3">
        <w:rPr>
          <w:rFonts w:ascii="FrankRuehl" w:hAnsi="FrankRuehl" w:cs="FrankRuehl"/>
          <w:sz w:val="26"/>
          <w:szCs w:val="26"/>
          <w:rtl/>
        </w:rPr>
        <w:br/>
      </w:r>
      <w:r w:rsidR="00E870C3" w:rsidRPr="00E870C3">
        <w:rPr>
          <w:rFonts w:ascii="FrankRuehl" w:hAnsi="FrankRuehl" w:cs="FrankRuehl"/>
          <w:spacing w:val="430"/>
          <w:sz w:val="26"/>
          <w:szCs w:val="26"/>
          <w:rtl/>
        </w:rPr>
        <w:t> </w:t>
      </w:r>
      <w:r w:rsidRPr="00E870C3">
        <w:rPr>
          <w:rFonts w:ascii="FrankRuehl" w:hAnsi="FrankRuehl" w:cs="FrankRuehl" w:hint="cs"/>
          <w:sz w:val="26"/>
          <w:szCs w:val="26"/>
          <w:rtl/>
        </w:rPr>
        <w:t>מהא שמבואר בירושלמי שאדם שחייב שבועה לחברו שביעית משמטתו, ואם עבר עליו השביעית ולא נשבע פקע ממנו חובת שבועה, ואף שהחוב עצמו לא פקע ממנו, שהרי מלווה כפרנית אין השביעית משמטת, מ"מ חיוב השבועה פקע, וא"כ מוכח שהחיוב שבועה עומד בפנ"ע בלא כל קשר לחיוב תשלומי הממון, שאם זה היה תחבולה להיפטר מהממון, הרי כל כמה שהחיוב קיים חוזר ונעור עליו חיוב השבועה.</w:t>
      </w:r>
      <w:r w:rsidR="00E870C3">
        <w:rPr>
          <w:rFonts w:ascii="FrankRuehl" w:hAnsi="FrankRuehl" w:cs="FrankRuehl"/>
          <w:sz w:val="26"/>
          <w:szCs w:val="26"/>
          <w:rtl/>
        </w:rPr>
        <w:tab/>
      </w:r>
    </w:p>
    <w:p w14:paraId="401F0FED" w14:textId="72DD62C8" w:rsidR="00E870C3" w:rsidRPr="00E870C3" w:rsidRDefault="00E870C3" w:rsidP="00E870C3">
      <w:pPr>
        <w:pStyle w:val="3"/>
        <w:rPr>
          <w:rtl/>
        </w:rPr>
      </w:pPr>
      <w:r w:rsidRPr="00E870C3">
        <w:rPr>
          <w:rFonts w:hint="cs"/>
          <w:rtl/>
        </w:rPr>
        <w:t>וכקושיה זו מצאנו בר"ן</w:t>
      </w:r>
    </w:p>
    <w:p w14:paraId="3AD22194" w14:textId="38FA86DF" w:rsidR="007B5FB5" w:rsidRPr="00E870C3" w:rsidRDefault="007B5FB5" w:rsidP="00E870C3">
      <w:pPr>
        <w:jc w:val="distribute"/>
        <w:rPr>
          <w:rFonts w:ascii="FrankRuehl" w:hAnsi="FrankRuehl" w:cs="FrankRuehl"/>
          <w:sz w:val="26"/>
          <w:szCs w:val="26"/>
          <w:rtl/>
        </w:rPr>
      </w:pPr>
      <w:r w:rsidRPr="00E870C3">
        <w:rPr>
          <w:rStyle w:val="af2"/>
          <w:rFonts w:hint="cs"/>
          <w:rtl/>
        </w:rPr>
        <w:t>וקושיה</w:t>
      </w:r>
      <w:r w:rsidRPr="00E870C3">
        <w:rPr>
          <w:rFonts w:ascii="FrankRuehl" w:hAnsi="FrankRuehl" w:cs="FrankRuehl" w:hint="cs"/>
          <w:sz w:val="26"/>
          <w:szCs w:val="26"/>
          <w:rtl/>
        </w:rPr>
        <w:t xml:space="preserve"> זו כבר הקשה הר"ן (</w:t>
      </w:r>
      <w:hyperlink r:id="rId10" w:history="1">
        <w:r w:rsidRPr="00E870C3">
          <w:rPr>
            <w:rStyle w:val="Hyperlink"/>
            <w:rFonts w:ascii="FrankRuehl" w:hAnsi="FrankRuehl" w:cs="FrankRuehl" w:hint="cs"/>
            <w:sz w:val="26"/>
            <w:szCs w:val="26"/>
            <w:u w:val="none"/>
            <w:rtl/>
          </w:rPr>
          <w:t xml:space="preserve">שבועות לב: </w:t>
        </w:r>
        <w:r w:rsidR="00E870C3">
          <w:rPr>
            <w:rStyle w:val="Hyperlink"/>
            <w:rFonts w:ascii="FrankRuehl" w:hAnsi="FrankRuehl" w:cs="FrankRuehl"/>
            <w:sz w:val="26"/>
            <w:szCs w:val="26"/>
            <w:u w:val="none"/>
            <w:rtl/>
          </w:rPr>
          <w:br/>
        </w:r>
        <w:r w:rsidR="00E870C3" w:rsidRPr="00E870C3">
          <w:rPr>
            <w:rStyle w:val="Hyperlink"/>
            <w:rFonts w:ascii="FrankRuehl" w:hAnsi="FrankRuehl" w:cs="FrankRuehl"/>
            <w:spacing w:val="770"/>
            <w:sz w:val="26"/>
            <w:szCs w:val="26"/>
            <w:u w:val="none"/>
            <w:rtl/>
          </w:rPr>
          <w:t> </w:t>
        </w:r>
        <w:r w:rsidRPr="00E870C3">
          <w:rPr>
            <w:rStyle w:val="Hyperlink"/>
            <w:rFonts w:ascii="FrankRuehl" w:hAnsi="FrankRuehl" w:cs="FrankRuehl" w:hint="cs"/>
            <w:sz w:val="26"/>
            <w:szCs w:val="26"/>
            <w:u w:val="none"/>
            <w:rtl/>
          </w:rPr>
          <w:t>מהרי"ף</w:t>
        </w:r>
      </w:hyperlink>
      <w:r w:rsidRPr="00E870C3">
        <w:rPr>
          <w:rFonts w:ascii="FrankRuehl" w:hAnsi="FrankRuehl" w:cs="FrankRuehl" w:hint="cs"/>
          <w:sz w:val="26"/>
          <w:szCs w:val="26"/>
          <w:rtl/>
        </w:rPr>
        <w:t>) והוא ביאר דהטעם שהשבועה פוקעת הוא משום שהחלק שהודה בו נשמט בשביעית, וא"כ הוא כמו אומר הילך שפטור משבועה, הכא נמי הרי היום הוא כופר הכל ומטעם זה פטור משבועה, שהרי הכופר בכל פטור משבועה דאו'.</w:t>
      </w:r>
      <w:r w:rsidR="00E870C3">
        <w:rPr>
          <w:rFonts w:ascii="FrankRuehl" w:hAnsi="FrankRuehl" w:cs="FrankRuehl"/>
          <w:sz w:val="26"/>
          <w:szCs w:val="26"/>
          <w:rtl/>
        </w:rPr>
        <w:tab/>
      </w:r>
    </w:p>
    <w:p w14:paraId="113D6159" w14:textId="7E14DE77" w:rsidR="007B5FB5" w:rsidRPr="00E870C3" w:rsidRDefault="007B5FB5" w:rsidP="00E870C3">
      <w:pPr>
        <w:jc w:val="distribute"/>
        <w:rPr>
          <w:rFonts w:ascii="FrankRuehl" w:hAnsi="FrankRuehl" w:cs="FrankRuehl"/>
          <w:sz w:val="26"/>
          <w:szCs w:val="26"/>
          <w:rtl/>
        </w:rPr>
      </w:pPr>
      <w:r w:rsidRPr="00E870C3">
        <w:rPr>
          <w:rStyle w:val="af2"/>
          <w:rFonts w:hint="cs"/>
          <w:rtl/>
        </w:rPr>
        <w:t>ודבריו</w:t>
      </w:r>
      <w:r w:rsidRPr="00E870C3">
        <w:rPr>
          <w:rFonts w:ascii="FrankRuehl" w:hAnsi="FrankRuehl" w:cs="FrankRuehl" w:hint="cs"/>
          <w:sz w:val="26"/>
          <w:szCs w:val="26"/>
          <w:rtl/>
        </w:rPr>
        <w:t xml:space="preserve"> קשים עד למאוד, שהרי רק בהילך </w:t>
      </w:r>
      <w:r w:rsidR="00E870C3">
        <w:rPr>
          <w:rFonts w:ascii="FrankRuehl" w:hAnsi="FrankRuehl" w:cs="FrankRuehl"/>
          <w:sz w:val="26"/>
          <w:szCs w:val="26"/>
          <w:rtl/>
        </w:rPr>
        <w:br/>
      </w:r>
      <w:r w:rsidR="00E870C3" w:rsidRPr="00E870C3">
        <w:rPr>
          <w:rFonts w:ascii="FrankRuehl" w:hAnsi="FrankRuehl" w:cs="FrankRuehl"/>
          <w:spacing w:val="710"/>
          <w:sz w:val="26"/>
          <w:szCs w:val="26"/>
          <w:rtl/>
        </w:rPr>
        <w:t> </w:t>
      </w:r>
      <w:r w:rsidRPr="00E870C3">
        <w:rPr>
          <w:rFonts w:ascii="FrankRuehl" w:hAnsi="FrankRuehl" w:cs="FrankRuehl" w:hint="cs"/>
          <w:sz w:val="26"/>
          <w:szCs w:val="26"/>
          <w:rtl/>
        </w:rPr>
        <w:t xml:space="preserve">מצאנו את הדין שהוא נחשב לכופר בכל, אבל אם פרע אחר זמן את החלק שהודה בו לא נפטר מחמת זה מהחיוב שבועה שהוטל </w:t>
      </w:r>
      <w:r w:rsidRPr="00E870C3">
        <w:rPr>
          <w:rFonts w:ascii="FrankRuehl" w:hAnsi="FrankRuehl" w:cs="FrankRuehl" w:hint="cs"/>
          <w:sz w:val="26"/>
          <w:szCs w:val="26"/>
          <w:rtl/>
        </w:rPr>
        <w:t>עליו, ומה בכך שפקע ממנו החיוב על אותו שהודה, סו"ס הוא נתחייב כבר חיוב שבועה.</w:t>
      </w:r>
      <w:r w:rsidR="00E870C3">
        <w:rPr>
          <w:rFonts w:ascii="FrankRuehl" w:hAnsi="FrankRuehl" w:cs="FrankRuehl"/>
          <w:sz w:val="26"/>
          <w:szCs w:val="26"/>
          <w:rtl/>
        </w:rPr>
        <w:tab/>
      </w:r>
    </w:p>
    <w:p w14:paraId="6A4E824D" w14:textId="01A78A0C" w:rsidR="007B5FB5" w:rsidRPr="00E870C3" w:rsidRDefault="007B5FB5" w:rsidP="00E870C3">
      <w:pPr>
        <w:jc w:val="distribute"/>
        <w:rPr>
          <w:rFonts w:ascii="FrankRuehl" w:hAnsi="FrankRuehl" w:cs="FrankRuehl"/>
          <w:sz w:val="26"/>
          <w:szCs w:val="26"/>
          <w:rtl/>
        </w:rPr>
      </w:pPr>
      <w:r w:rsidRPr="00E870C3">
        <w:rPr>
          <w:rStyle w:val="af2"/>
          <w:rFonts w:hint="cs"/>
          <w:rtl/>
        </w:rPr>
        <w:t>ובחידושי</w:t>
      </w:r>
      <w:r w:rsidRPr="00E870C3">
        <w:rPr>
          <w:rFonts w:ascii="FrankRuehl" w:hAnsi="FrankRuehl" w:cs="FrankRuehl" w:hint="cs"/>
          <w:sz w:val="26"/>
          <w:szCs w:val="26"/>
          <w:rtl/>
        </w:rPr>
        <w:t xml:space="preserve"> הגר"ח (</w:t>
      </w:r>
      <w:hyperlink r:id="rId11" w:history="1">
        <w:r w:rsidRPr="00E870C3">
          <w:rPr>
            <w:rStyle w:val="Hyperlink"/>
            <w:rFonts w:ascii="FrankRuehl" w:hAnsi="FrankRuehl" w:cs="FrankRuehl" w:hint="cs"/>
            <w:sz w:val="26"/>
            <w:szCs w:val="26"/>
            <w:u w:val="none"/>
            <w:rtl/>
          </w:rPr>
          <w:t>פ"ט משמיטה ויובל ה"ו</w:t>
        </w:r>
      </w:hyperlink>
      <w:r w:rsidRPr="00E870C3">
        <w:rPr>
          <w:rFonts w:ascii="FrankRuehl" w:hAnsi="FrankRuehl" w:cs="FrankRuehl" w:hint="cs"/>
          <w:sz w:val="26"/>
          <w:szCs w:val="26"/>
          <w:rtl/>
        </w:rPr>
        <w:t xml:space="preserve">) </w:t>
      </w:r>
      <w:r w:rsidR="00E870C3">
        <w:rPr>
          <w:rFonts w:ascii="FrankRuehl" w:hAnsi="FrankRuehl" w:cs="FrankRuehl"/>
          <w:sz w:val="26"/>
          <w:szCs w:val="26"/>
          <w:rtl/>
        </w:rPr>
        <w:br/>
      </w:r>
      <w:r w:rsidR="00E870C3" w:rsidRPr="00E870C3">
        <w:rPr>
          <w:rFonts w:ascii="FrankRuehl" w:hAnsi="FrankRuehl" w:cs="FrankRuehl"/>
          <w:spacing w:val="950"/>
          <w:sz w:val="26"/>
          <w:szCs w:val="26"/>
          <w:rtl/>
        </w:rPr>
        <w:t> </w:t>
      </w:r>
      <w:r w:rsidRPr="00E870C3">
        <w:rPr>
          <w:rFonts w:ascii="FrankRuehl" w:hAnsi="FrankRuehl" w:cs="FrankRuehl" w:hint="cs"/>
          <w:sz w:val="26"/>
          <w:szCs w:val="26"/>
          <w:rtl/>
        </w:rPr>
        <w:t>הקשה כן, וביאר שזה פשוט שמה ששביעית משמטטת חיוב שבועה הוא גזה"כ, אלא שהר"ן הק' קושיא אחריתי, שאף שהשביעית פטרה אותו מחיוב השבועה, מ"מ עד כמה שחייב עדיין את החלק שכפר בו שהרי מלוה כפרנית אינה נשמטת, הרי חוזר עליו החיוב שבועה, שסו"ס הוא חייב מדין מודה במקצת, ולזה תי' הר"ן שהחוב החדש שיש לו הוא כבר אינו מודה במקצת אלא כופר הכל, ואינו חייב שבועה חדשה.</w:t>
      </w:r>
      <w:r w:rsidR="00E870C3">
        <w:rPr>
          <w:rFonts w:ascii="FrankRuehl" w:hAnsi="FrankRuehl" w:cs="FrankRuehl"/>
          <w:sz w:val="26"/>
          <w:szCs w:val="26"/>
          <w:rtl/>
        </w:rPr>
        <w:tab/>
      </w:r>
    </w:p>
    <w:p w14:paraId="1AF685F6" w14:textId="63D3E6BE" w:rsidR="00E870C3" w:rsidRPr="00E870C3" w:rsidRDefault="00E870C3" w:rsidP="00E870C3">
      <w:pPr>
        <w:pStyle w:val="3"/>
        <w:rPr>
          <w:rtl/>
        </w:rPr>
      </w:pPr>
      <w:r w:rsidRPr="00E870C3">
        <w:rPr>
          <w:rFonts w:hint="cs"/>
          <w:rtl/>
        </w:rPr>
        <w:t>ביאור דברי הגרש"ש</w:t>
      </w:r>
    </w:p>
    <w:p w14:paraId="3CE1F8A8" w14:textId="1367A9EE" w:rsidR="007B5FB5" w:rsidRPr="00E870C3" w:rsidRDefault="007B5FB5" w:rsidP="00E870C3">
      <w:pPr>
        <w:jc w:val="distribute"/>
        <w:rPr>
          <w:rFonts w:ascii="FrankRuehl" w:hAnsi="FrankRuehl" w:cs="FrankRuehl"/>
          <w:sz w:val="26"/>
          <w:szCs w:val="26"/>
          <w:rtl/>
        </w:rPr>
      </w:pPr>
      <w:r w:rsidRPr="00E870C3">
        <w:rPr>
          <w:rStyle w:val="af2"/>
          <w:rFonts w:hint="cs"/>
          <w:rtl/>
        </w:rPr>
        <w:t>וביסוד</w:t>
      </w:r>
      <w:r w:rsidRPr="00E870C3">
        <w:rPr>
          <w:rFonts w:ascii="FrankRuehl" w:hAnsi="FrankRuehl" w:cs="FrankRuehl" w:hint="cs"/>
          <w:sz w:val="26"/>
          <w:szCs w:val="26"/>
          <w:rtl/>
        </w:rPr>
        <w:t xml:space="preserve"> דברי הגרש"ש יש ליתן טעם, שהרי לא </w:t>
      </w:r>
      <w:r w:rsidR="00E870C3">
        <w:rPr>
          <w:rFonts w:ascii="FrankRuehl" w:hAnsi="FrankRuehl" w:cs="FrankRuehl"/>
          <w:sz w:val="26"/>
          <w:szCs w:val="26"/>
          <w:rtl/>
        </w:rPr>
        <w:br/>
      </w:r>
      <w:r w:rsidR="00E870C3" w:rsidRPr="00E870C3">
        <w:rPr>
          <w:rFonts w:ascii="FrankRuehl" w:hAnsi="FrankRuehl" w:cs="FrankRuehl"/>
          <w:spacing w:val="670"/>
          <w:sz w:val="26"/>
          <w:szCs w:val="26"/>
          <w:rtl/>
        </w:rPr>
        <w:t> </w:t>
      </w:r>
      <w:r w:rsidRPr="00E870C3">
        <w:rPr>
          <w:rFonts w:ascii="FrankRuehl" w:hAnsi="FrankRuehl" w:cs="FrankRuehl" w:hint="cs"/>
          <w:sz w:val="26"/>
          <w:szCs w:val="26"/>
          <w:rtl/>
        </w:rPr>
        <w:t xml:space="preserve">יתכן שחיוב שבועה הוא תשלומין כפשוטו, שהרי מהות ענין התשלומים הוא תמורה לדבר שחייב לו, ומה שייך תמורה בשבועה, שהרי היא אינה תמורה לחוב, </w:t>
      </w:r>
      <w:r w:rsidR="001B5DDE" w:rsidRPr="00E870C3">
        <w:rPr>
          <w:rFonts w:ascii="FrankRuehl" w:hAnsi="FrankRuehl" w:cs="FrankRuehl" w:hint="cs"/>
          <w:sz w:val="26"/>
          <w:szCs w:val="26"/>
          <w:rtl/>
        </w:rPr>
        <w:t>וע"כ נראה לומר שיסוד דבריו הוא ש</w:t>
      </w:r>
      <w:r w:rsidR="001570F7" w:rsidRPr="00E870C3">
        <w:rPr>
          <w:rFonts w:ascii="FrankRuehl" w:hAnsi="FrankRuehl" w:cs="FrankRuehl" w:hint="cs"/>
          <w:sz w:val="26"/>
          <w:szCs w:val="26"/>
          <w:rtl/>
        </w:rPr>
        <w:t>מדין טוען וניתן יש לתובע זכות לדרוש מחברו שיברר לו את השבועה</w:t>
      </w:r>
      <w:r w:rsidR="00E870C3" w:rsidRPr="00E870C3">
        <w:rPr>
          <w:rFonts w:ascii="FrankRuehl" w:hAnsi="FrankRuehl" w:cs="FrankRuehl" w:hint="cs"/>
          <w:sz w:val="26"/>
          <w:szCs w:val="26"/>
          <w:rtl/>
        </w:rPr>
        <w:t>, והרי היא ככל הזכויות שיש לאדם על חברו, אלא שנתחדש שלא רק החוב עצמו נשמט בשביעית, אלא כל זכות שיש לאדם על חברו ג"כ נשמטת.</w:t>
      </w:r>
      <w:r w:rsidR="00E870C3">
        <w:rPr>
          <w:rFonts w:ascii="FrankRuehl" w:hAnsi="FrankRuehl" w:cs="FrankRuehl"/>
          <w:sz w:val="26"/>
          <w:szCs w:val="26"/>
          <w:rtl/>
        </w:rPr>
        <w:tab/>
      </w:r>
    </w:p>
    <w:p w14:paraId="0C641817" w14:textId="0EF1C47A" w:rsidR="00E870C3" w:rsidRPr="00E870C3" w:rsidRDefault="00E870C3" w:rsidP="00E870C3">
      <w:pPr>
        <w:pStyle w:val="3"/>
        <w:rPr>
          <w:rtl/>
        </w:rPr>
      </w:pPr>
      <w:r w:rsidRPr="00E870C3">
        <w:rPr>
          <w:rFonts w:hint="cs"/>
          <w:rtl/>
        </w:rPr>
        <w:t>תי' נוסף מהאביעזרי</w:t>
      </w:r>
    </w:p>
    <w:p w14:paraId="56E38982" w14:textId="0AEED274" w:rsidR="00E870C3" w:rsidRDefault="00E870C3" w:rsidP="00E870C3">
      <w:pPr>
        <w:jc w:val="distribute"/>
        <w:rPr>
          <w:rFonts w:ascii="FrankRuehl" w:hAnsi="FrankRuehl" w:cs="FrankRuehl"/>
          <w:sz w:val="26"/>
          <w:szCs w:val="26"/>
          <w:rtl/>
        </w:rPr>
      </w:pPr>
      <w:r w:rsidRPr="00E870C3">
        <w:rPr>
          <w:rStyle w:val="af2"/>
          <w:rFonts w:hint="cs"/>
          <w:rtl/>
        </w:rPr>
        <w:t>וכתב</w:t>
      </w:r>
      <w:r w:rsidRPr="00E870C3">
        <w:rPr>
          <w:rFonts w:ascii="FrankRuehl" w:hAnsi="FrankRuehl" w:cs="FrankRuehl" w:hint="cs"/>
          <w:sz w:val="26"/>
          <w:szCs w:val="26"/>
          <w:rtl/>
        </w:rPr>
        <w:t xml:space="preserve"> האביעזרי (פ"ט משמיטה ויובל ה"ו) </w:t>
      </w:r>
      <w:r>
        <w:rPr>
          <w:rFonts w:ascii="FrankRuehl" w:hAnsi="FrankRuehl" w:cs="FrankRuehl"/>
          <w:sz w:val="26"/>
          <w:szCs w:val="26"/>
          <w:rtl/>
        </w:rPr>
        <w:br/>
      </w:r>
      <w:r w:rsidRPr="00E870C3">
        <w:rPr>
          <w:rFonts w:ascii="FrankRuehl" w:hAnsi="FrankRuehl" w:cs="FrankRuehl"/>
          <w:spacing w:val="580"/>
          <w:sz w:val="26"/>
          <w:szCs w:val="26"/>
          <w:rtl/>
        </w:rPr>
        <w:t> </w:t>
      </w:r>
      <w:r w:rsidRPr="00E870C3">
        <w:rPr>
          <w:rFonts w:ascii="FrankRuehl" w:hAnsi="FrankRuehl" w:cs="FrankRuehl" w:hint="cs"/>
          <w:sz w:val="26"/>
          <w:szCs w:val="26"/>
          <w:rtl/>
        </w:rPr>
        <w:t>שיסוד השבועה אינו לברר טענות הנתבע, אלא תחבולה שיבוא הנתבע ויודה, כיון שהוא חושש להישבע, וזהו הטעם ששביעית משמטת את השבועה, דכיון שאי"ז חיוב לבירור הטענות, אלא דרך להביא אותו לשלם הממון, ממילא הוא נחשב ככל</w:t>
      </w:r>
      <w:r w:rsidRPr="00E870C3">
        <w:rPr>
          <w:rFonts w:ascii="FrankRuehl" w:hAnsi="FrankRuehl" w:cs="FrankRuehl" w:hint="cs"/>
          <w:sz w:val="26"/>
          <w:szCs w:val="24"/>
          <w:rtl/>
        </w:rPr>
        <w:t xml:space="preserve"> </w:t>
      </w:r>
      <w:r w:rsidRPr="00E870C3">
        <w:rPr>
          <w:rFonts w:ascii="FrankRuehl" w:hAnsi="FrankRuehl" w:cs="FrankRuehl" w:hint="cs"/>
          <w:sz w:val="26"/>
          <w:szCs w:val="26"/>
          <w:rtl/>
        </w:rPr>
        <w:t>חיובי הממון ופוקע בשביעית, וצ"ע בזה.</w:t>
      </w:r>
      <w:r>
        <w:rPr>
          <w:rFonts w:ascii="FrankRuehl" w:hAnsi="FrankRuehl" w:cs="FrankRuehl"/>
          <w:sz w:val="26"/>
          <w:szCs w:val="26"/>
          <w:rtl/>
        </w:rPr>
        <w:tab/>
      </w:r>
    </w:p>
    <w:p w14:paraId="6863C885" w14:textId="77777777" w:rsidR="00E870C3" w:rsidRDefault="00E870C3" w:rsidP="00E870C3">
      <w:pPr>
        <w:rPr>
          <w:rFonts w:ascii="FrankRuehl" w:hAnsi="FrankRuehl" w:cs="FrankRuehl"/>
          <w:sz w:val="26"/>
          <w:szCs w:val="26"/>
          <w:rtl/>
        </w:rPr>
        <w:sectPr w:rsidR="00E870C3" w:rsidSect="00E870C3">
          <w:footnotePr>
            <w:numFmt w:val="hebrew1"/>
          </w:footnotePr>
          <w:type w:val="continuous"/>
          <w:pgSz w:w="11906" w:h="16838"/>
          <w:pgMar w:top="1440" w:right="1800" w:bottom="1440" w:left="1800" w:header="708" w:footer="708" w:gutter="0"/>
          <w:cols w:num="2" w:space="708"/>
          <w:bidi/>
          <w:rtlGutter/>
          <w:docGrid w:linePitch="360"/>
          <w15:footnoteColumns w:val="1"/>
        </w:sectPr>
      </w:pPr>
    </w:p>
    <w:p w14:paraId="3838716A" w14:textId="77777777" w:rsidR="00E870C3" w:rsidRPr="00E870C3" w:rsidRDefault="00E870C3" w:rsidP="00E870C3">
      <w:pPr>
        <w:rPr>
          <w:rFonts w:ascii="FrankRuehl" w:hAnsi="FrankRuehl" w:cs="FrankRuehl"/>
          <w:sz w:val="26"/>
          <w:szCs w:val="26"/>
          <w:rtl/>
        </w:rPr>
      </w:pPr>
    </w:p>
    <w:p w14:paraId="2B618333" w14:textId="77777777" w:rsidR="00E870C3" w:rsidRPr="00E870C3" w:rsidRDefault="00E870C3">
      <w:pPr>
        <w:rPr>
          <w:rFonts w:ascii="FrankRuehl" w:hAnsi="FrankRuehl" w:cs="FrankRuehl"/>
          <w:sz w:val="26"/>
          <w:szCs w:val="26"/>
        </w:rPr>
      </w:pPr>
    </w:p>
    <w:sectPr w:rsidR="00E870C3" w:rsidRPr="00E870C3" w:rsidSect="00E870C3">
      <w:footnotePr>
        <w:numFmt w:val="hebrew1"/>
      </w:footnotePr>
      <w:type w:val="continuous"/>
      <w:pgSz w:w="11906" w:h="16838"/>
      <w:pgMar w:top="1440" w:right="1800" w:bottom="1440" w:left="1800" w:header="708" w:footer="708" w:gutter="0"/>
      <w:cols w:space="708"/>
      <w:bidi/>
      <w:rtlGutter/>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CD86E" w14:textId="77777777" w:rsidR="00B64930" w:rsidRDefault="00B64930" w:rsidP="009F5A99">
      <w:pPr>
        <w:spacing w:after="0" w:line="240" w:lineRule="auto"/>
      </w:pPr>
      <w:r>
        <w:separator/>
      </w:r>
    </w:p>
  </w:endnote>
  <w:endnote w:type="continuationSeparator" w:id="0">
    <w:p w14:paraId="516A7839" w14:textId="77777777" w:rsidR="00B64930" w:rsidRDefault="00B64930" w:rsidP="009F5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rankRuehl DP">
    <w:altName w:val="Arial"/>
    <w:panose1 w:val="02000600000000000000"/>
    <w:charset w:val="00"/>
    <w:family w:val="auto"/>
    <w:pitch w:val="variable"/>
    <w:sig w:usb0="00000803" w:usb1="40000000" w:usb2="00000000" w:usb3="00000000" w:csb0="00000021" w:csb1="00000000"/>
  </w:font>
  <w:font w:name="Guttman Drogolin">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ECA69" w14:textId="77777777" w:rsidR="00B64930" w:rsidRDefault="00B64930" w:rsidP="009F5A99">
      <w:pPr>
        <w:spacing w:after="0" w:line="240" w:lineRule="auto"/>
      </w:pPr>
      <w:r>
        <w:separator/>
      </w:r>
    </w:p>
  </w:footnote>
  <w:footnote w:type="continuationSeparator" w:id="0">
    <w:p w14:paraId="67D2326B" w14:textId="77777777" w:rsidR="00B64930" w:rsidRDefault="00B64930" w:rsidP="009F5A99">
      <w:pPr>
        <w:spacing w:after="0" w:line="240" w:lineRule="auto"/>
      </w:pPr>
      <w:r>
        <w:continuationSeparator/>
      </w:r>
    </w:p>
  </w:footnote>
  <w:footnote w:id="1">
    <w:p w14:paraId="08BE03FC" w14:textId="0934654E" w:rsidR="009F5A99" w:rsidRPr="009F5A99" w:rsidRDefault="009F5A99" w:rsidP="009F5A99">
      <w:pPr>
        <w:pStyle w:val="ae"/>
      </w:pPr>
      <w:r>
        <w:rPr>
          <w:rStyle w:val="af0"/>
        </w:rPr>
        <w:footnoteRef/>
      </w:r>
      <w:r>
        <w:rPr>
          <w:rFonts w:hint="cs"/>
          <w:rtl/>
        </w:rPr>
        <w:t xml:space="preserve"> </w:t>
      </w:r>
      <w:r w:rsidRPr="009F5A99">
        <w:rPr>
          <w:rtl/>
        </w:rPr>
        <w:t>דכתיב לא יקום עד אחד באיש לכל עון ולכל חטאת</w:t>
      </w:r>
      <w:r>
        <w:rPr>
          <w:rFonts w:hint="cs"/>
          <w:rtl/>
        </w:rPr>
        <w:t>,</w:t>
      </w:r>
      <w:r w:rsidRPr="009F5A99">
        <w:rPr>
          <w:rtl/>
        </w:rPr>
        <w:t xml:space="preserve"> לכל עון ולכל חטאת הוא דאינו קם, אבל קם הוא לשבועה</w:t>
      </w:r>
      <w:r>
        <w:rPr>
          <w:rFonts w:hint="cs"/>
          <w:rtl/>
        </w:rPr>
        <w:t>, כתובות פז: ובעוד מקומות.</w:t>
      </w:r>
    </w:p>
    <w:p w14:paraId="72B0584E" w14:textId="7CAB86FA" w:rsidR="009F5A99" w:rsidRPr="009F5A99" w:rsidRDefault="009F5A99">
      <w:pPr>
        <w:pStyle w:val="ae"/>
      </w:pPr>
    </w:p>
  </w:footnote>
  <w:footnote w:id="2">
    <w:p w14:paraId="307B2199" w14:textId="46DF9938" w:rsidR="00E870C3" w:rsidRDefault="00E870C3">
      <w:pPr>
        <w:pStyle w:val="ae"/>
        <w:rPr>
          <w:rtl/>
        </w:rPr>
      </w:pPr>
      <w:r>
        <w:rPr>
          <w:rStyle w:val="af0"/>
        </w:rPr>
        <w:footnoteRef/>
      </w:r>
      <w:r>
        <w:rPr>
          <w:rtl/>
        </w:rPr>
        <w:t xml:space="preserve"> </w:t>
      </w:r>
      <w:r>
        <w:rPr>
          <w:rFonts w:hint="cs"/>
          <w:rtl/>
        </w:rPr>
        <w:t>ואמנם מצינו שיעקב השביע את עשיו כאשר מכר לו את הבכורה, ושם מבואר שנשבע בחיי אביו יצחק, ולא מצינו שהתפיסו יעקב במילתו, וכתב המדרש שמכיון שעשיו כפר בקב"ה ובברית, ממילא לא היה שייך להשביעו בזה, ולכך השביעו יעקב בחיי אביו יצחק, שהרי עשיו היה מכבד את יצחק, ולכן השביעו בדבר שיטיל עליו אימה.</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Fmt w:val="hebrew1"/>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A26"/>
    <w:rsid w:val="0000210C"/>
    <w:rsid w:val="00065CDC"/>
    <w:rsid w:val="00076B5A"/>
    <w:rsid w:val="00113825"/>
    <w:rsid w:val="00116682"/>
    <w:rsid w:val="001570F7"/>
    <w:rsid w:val="0019743D"/>
    <w:rsid w:val="001A6D99"/>
    <w:rsid w:val="001B2681"/>
    <w:rsid w:val="001B5DDE"/>
    <w:rsid w:val="001C6235"/>
    <w:rsid w:val="00202CDD"/>
    <w:rsid w:val="00212D10"/>
    <w:rsid w:val="00214F39"/>
    <w:rsid w:val="00263632"/>
    <w:rsid w:val="00267D3E"/>
    <w:rsid w:val="002B4846"/>
    <w:rsid w:val="002C6E2B"/>
    <w:rsid w:val="002E1148"/>
    <w:rsid w:val="002E2E15"/>
    <w:rsid w:val="00315C87"/>
    <w:rsid w:val="0033422F"/>
    <w:rsid w:val="00347394"/>
    <w:rsid w:val="003650DB"/>
    <w:rsid w:val="00376EC0"/>
    <w:rsid w:val="003811EE"/>
    <w:rsid w:val="003A7AEE"/>
    <w:rsid w:val="003F275C"/>
    <w:rsid w:val="004747D2"/>
    <w:rsid w:val="004829C5"/>
    <w:rsid w:val="00482EBB"/>
    <w:rsid w:val="00505C77"/>
    <w:rsid w:val="005626FD"/>
    <w:rsid w:val="005C4774"/>
    <w:rsid w:val="0060185A"/>
    <w:rsid w:val="00647910"/>
    <w:rsid w:val="00671E6D"/>
    <w:rsid w:val="00697CEF"/>
    <w:rsid w:val="006A4396"/>
    <w:rsid w:val="006E145F"/>
    <w:rsid w:val="00712965"/>
    <w:rsid w:val="007238BF"/>
    <w:rsid w:val="00755307"/>
    <w:rsid w:val="007B5FB5"/>
    <w:rsid w:val="007C5FB3"/>
    <w:rsid w:val="007F26D4"/>
    <w:rsid w:val="00832F83"/>
    <w:rsid w:val="00851EAC"/>
    <w:rsid w:val="00861AC6"/>
    <w:rsid w:val="008E517B"/>
    <w:rsid w:val="008F5E0C"/>
    <w:rsid w:val="00914DFE"/>
    <w:rsid w:val="0092150C"/>
    <w:rsid w:val="009453C1"/>
    <w:rsid w:val="0096020E"/>
    <w:rsid w:val="00965A41"/>
    <w:rsid w:val="009F5A99"/>
    <w:rsid w:val="00A36C87"/>
    <w:rsid w:val="00B350C1"/>
    <w:rsid w:val="00B372F1"/>
    <w:rsid w:val="00B42C31"/>
    <w:rsid w:val="00B64930"/>
    <w:rsid w:val="00BA072E"/>
    <w:rsid w:val="00BF1254"/>
    <w:rsid w:val="00C37680"/>
    <w:rsid w:val="00C4512D"/>
    <w:rsid w:val="00C45403"/>
    <w:rsid w:val="00C51B14"/>
    <w:rsid w:val="00C80EF0"/>
    <w:rsid w:val="00CD5324"/>
    <w:rsid w:val="00D16674"/>
    <w:rsid w:val="00D471FB"/>
    <w:rsid w:val="00D63A79"/>
    <w:rsid w:val="00D64A26"/>
    <w:rsid w:val="00DC2D36"/>
    <w:rsid w:val="00DD5146"/>
    <w:rsid w:val="00DF3D6D"/>
    <w:rsid w:val="00DF3E05"/>
    <w:rsid w:val="00E00CAE"/>
    <w:rsid w:val="00E14D6A"/>
    <w:rsid w:val="00E57170"/>
    <w:rsid w:val="00E76A8E"/>
    <w:rsid w:val="00E870C3"/>
    <w:rsid w:val="00E921EF"/>
    <w:rsid w:val="00E928A8"/>
    <w:rsid w:val="00EE1DF9"/>
    <w:rsid w:val="00F15661"/>
    <w:rsid w:val="00F32156"/>
    <w:rsid w:val="00F754BB"/>
    <w:rsid w:val="00FF5B6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5E5EA8"/>
  <w15:chartTrackingRefBased/>
  <w15:docId w15:val="{F823E88B-9DCE-4E66-A1ED-8561CB42E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000000" w:themeColor="text1"/>
        <w:kern w:val="2"/>
        <w:sz w:val="22"/>
        <w:szCs w:val="22"/>
        <w:lang w:val="en-US" w:eastAsia="en-US" w:bidi="he-IL"/>
        <w14:ligatures w14:val="standardContextual"/>
      </w:rPr>
    </w:rPrDefault>
    <w:pPrDefault>
      <w:pPr>
        <w:bidi/>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64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870C3"/>
    <w:pPr>
      <w:keepNext/>
      <w:keepLines/>
      <w:spacing w:before="160" w:after="80"/>
      <w:jc w:val="center"/>
      <w:outlineLvl w:val="1"/>
    </w:pPr>
    <w:rPr>
      <w:rFonts w:ascii="FrankRuehl DP" w:eastAsiaTheme="majorEastAsia" w:hAnsi="FrankRuehl DP" w:cs="FrankRuehl DP"/>
      <w:b/>
      <w:bCs/>
      <w:color w:val="auto"/>
      <w:sz w:val="28"/>
      <w:szCs w:val="28"/>
    </w:rPr>
  </w:style>
  <w:style w:type="paragraph" w:styleId="3">
    <w:name w:val="heading 3"/>
    <w:basedOn w:val="a"/>
    <w:next w:val="a"/>
    <w:link w:val="30"/>
    <w:autoRedefine/>
    <w:uiPriority w:val="9"/>
    <w:unhideWhenUsed/>
    <w:qFormat/>
    <w:rsid w:val="00E870C3"/>
    <w:pPr>
      <w:keepNext/>
      <w:keepLines/>
      <w:spacing w:before="160" w:after="80"/>
      <w:jc w:val="center"/>
      <w:outlineLvl w:val="2"/>
    </w:pPr>
    <w:rPr>
      <w:rFonts w:ascii="FrankRuehl DP" w:eastAsiaTheme="majorEastAsia" w:hAnsi="FrankRuehl DP" w:cs="FrankRuehl DP"/>
      <w:b/>
      <w:bCs/>
      <w:color w:val="auto"/>
      <w:sz w:val="28"/>
      <w:szCs w:val="28"/>
    </w:rPr>
  </w:style>
  <w:style w:type="paragraph" w:styleId="4">
    <w:name w:val="heading 4"/>
    <w:basedOn w:val="a"/>
    <w:next w:val="a"/>
    <w:link w:val="40"/>
    <w:uiPriority w:val="9"/>
    <w:unhideWhenUsed/>
    <w:qFormat/>
    <w:rsid w:val="00D16674"/>
    <w:pPr>
      <w:keepNext/>
      <w:keepLines/>
      <w:spacing w:before="80" w:after="40"/>
      <w:outlineLvl w:val="3"/>
    </w:pPr>
    <w:rPr>
      <w:rFonts w:asciiTheme="minorHAnsi" w:eastAsiaTheme="majorEastAsia" w:hAnsiTheme="minorHAnsi"/>
      <w:b/>
      <w:bCs/>
      <w:i/>
    </w:rPr>
  </w:style>
  <w:style w:type="paragraph" w:styleId="5">
    <w:name w:val="heading 5"/>
    <w:basedOn w:val="a"/>
    <w:next w:val="a"/>
    <w:link w:val="50"/>
    <w:uiPriority w:val="9"/>
    <w:unhideWhenUsed/>
    <w:qFormat/>
    <w:rsid w:val="00832F83"/>
    <w:pPr>
      <w:keepNext/>
      <w:keepLines/>
      <w:spacing w:before="80" w:after="40"/>
      <w:outlineLvl w:val="4"/>
    </w:pPr>
    <w:rPr>
      <w:rFonts w:asciiTheme="minorHAnsi" w:eastAsiaTheme="majorEastAsia" w:hAnsiTheme="minorHAnsi"/>
      <w:b/>
      <w:bCs/>
    </w:rPr>
  </w:style>
  <w:style w:type="paragraph" w:styleId="6">
    <w:name w:val="heading 6"/>
    <w:basedOn w:val="a"/>
    <w:next w:val="a"/>
    <w:link w:val="60"/>
    <w:uiPriority w:val="9"/>
    <w:semiHidden/>
    <w:unhideWhenUsed/>
    <w:qFormat/>
    <w:rsid w:val="00D64A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64A26"/>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64A26"/>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64A26"/>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E870C3"/>
    <w:rPr>
      <w:rFonts w:ascii="FrankRuehl DP" w:eastAsiaTheme="majorEastAsia" w:hAnsi="FrankRuehl DP" w:cs="FrankRuehl DP"/>
      <w:b/>
      <w:bCs/>
      <w:color w:val="auto"/>
      <w:sz w:val="28"/>
      <w:szCs w:val="28"/>
    </w:rPr>
  </w:style>
  <w:style w:type="character" w:customStyle="1" w:styleId="40">
    <w:name w:val="כותרת 4 תו"/>
    <w:basedOn w:val="a0"/>
    <w:link w:val="4"/>
    <w:uiPriority w:val="9"/>
    <w:rsid w:val="00D16674"/>
    <w:rPr>
      <w:rFonts w:asciiTheme="minorHAnsi" w:eastAsiaTheme="majorEastAsia" w:hAnsiTheme="minorHAnsi"/>
      <w:b/>
      <w:bCs/>
      <w:i/>
      <w:color w:val="000000" w:themeColor="text1"/>
    </w:rPr>
  </w:style>
  <w:style w:type="character" w:customStyle="1" w:styleId="50">
    <w:name w:val="כותרת 5 תו"/>
    <w:basedOn w:val="a0"/>
    <w:link w:val="5"/>
    <w:uiPriority w:val="9"/>
    <w:rsid w:val="00832F83"/>
    <w:rPr>
      <w:rFonts w:asciiTheme="minorHAnsi" w:eastAsiaTheme="majorEastAsia" w:hAnsiTheme="minorHAnsi"/>
      <w:b/>
      <w:bCs/>
    </w:rPr>
  </w:style>
  <w:style w:type="character" w:customStyle="1" w:styleId="20">
    <w:name w:val="כותרת 2 תו"/>
    <w:basedOn w:val="a0"/>
    <w:link w:val="2"/>
    <w:uiPriority w:val="9"/>
    <w:rsid w:val="00E870C3"/>
    <w:rPr>
      <w:rFonts w:ascii="FrankRuehl DP" w:eastAsiaTheme="majorEastAsia" w:hAnsi="FrankRuehl DP" w:cs="FrankRuehl DP"/>
      <w:b/>
      <w:bCs/>
      <w:color w:val="auto"/>
      <w:sz w:val="28"/>
      <w:szCs w:val="28"/>
    </w:rPr>
  </w:style>
  <w:style w:type="character" w:customStyle="1" w:styleId="10">
    <w:name w:val="כותרת 1 תו"/>
    <w:basedOn w:val="a0"/>
    <w:link w:val="1"/>
    <w:uiPriority w:val="9"/>
    <w:rsid w:val="00D64A26"/>
    <w:rPr>
      <w:rFonts w:asciiTheme="majorHAnsi" w:eastAsiaTheme="majorEastAsia" w:hAnsiTheme="majorHAnsi" w:cstheme="majorBidi"/>
      <w:color w:val="0F4761" w:themeColor="accent1" w:themeShade="BF"/>
      <w:sz w:val="40"/>
      <w:szCs w:val="40"/>
    </w:rPr>
  </w:style>
  <w:style w:type="character" w:customStyle="1" w:styleId="60">
    <w:name w:val="כותרת 6 תו"/>
    <w:basedOn w:val="a0"/>
    <w:link w:val="6"/>
    <w:uiPriority w:val="9"/>
    <w:semiHidden/>
    <w:rsid w:val="00D64A26"/>
    <w:rPr>
      <w:rFonts w:asciiTheme="minorHAnsi" w:eastAsiaTheme="majorEastAsia" w:hAnsiTheme="minorHAnsi" w:cstheme="majorBidi"/>
      <w:i/>
      <w:iCs/>
      <w:color w:val="595959" w:themeColor="text1" w:themeTint="A6"/>
    </w:rPr>
  </w:style>
  <w:style w:type="character" w:customStyle="1" w:styleId="70">
    <w:name w:val="כותרת 7 תו"/>
    <w:basedOn w:val="a0"/>
    <w:link w:val="7"/>
    <w:uiPriority w:val="9"/>
    <w:semiHidden/>
    <w:rsid w:val="00D64A26"/>
    <w:rPr>
      <w:rFonts w:asciiTheme="minorHAnsi" w:eastAsiaTheme="majorEastAsia" w:hAnsiTheme="minorHAnsi" w:cstheme="majorBidi"/>
      <w:color w:val="595959" w:themeColor="text1" w:themeTint="A6"/>
    </w:rPr>
  </w:style>
  <w:style w:type="character" w:customStyle="1" w:styleId="80">
    <w:name w:val="כותרת 8 תו"/>
    <w:basedOn w:val="a0"/>
    <w:link w:val="8"/>
    <w:uiPriority w:val="9"/>
    <w:semiHidden/>
    <w:rsid w:val="00D64A26"/>
    <w:rPr>
      <w:rFonts w:asciiTheme="minorHAnsi" w:eastAsiaTheme="majorEastAsia" w:hAnsiTheme="minorHAnsi" w:cstheme="majorBidi"/>
      <w:i/>
      <w:iCs/>
      <w:color w:val="272727" w:themeColor="text1" w:themeTint="D8"/>
    </w:rPr>
  </w:style>
  <w:style w:type="character" w:customStyle="1" w:styleId="90">
    <w:name w:val="כותרת 9 תו"/>
    <w:basedOn w:val="a0"/>
    <w:link w:val="9"/>
    <w:uiPriority w:val="9"/>
    <w:semiHidden/>
    <w:rsid w:val="00D64A26"/>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D64A2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a4">
    <w:name w:val="כותרת טקסט תו"/>
    <w:basedOn w:val="a0"/>
    <w:link w:val="a3"/>
    <w:uiPriority w:val="10"/>
    <w:rsid w:val="00D64A26"/>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D64A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uiPriority w:val="11"/>
    <w:rsid w:val="00D64A26"/>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D64A26"/>
    <w:pPr>
      <w:spacing w:before="160"/>
      <w:jc w:val="center"/>
    </w:pPr>
    <w:rPr>
      <w:i/>
      <w:iCs/>
      <w:color w:val="404040" w:themeColor="text1" w:themeTint="BF"/>
    </w:rPr>
  </w:style>
  <w:style w:type="character" w:customStyle="1" w:styleId="a8">
    <w:name w:val="ציטוט תו"/>
    <w:basedOn w:val="a0"/>
    <w:link w:val="a7"/>
    <w:uiPriority w:val="29"/>
    <w:rsid w:val="00D64A26"/>
    <w:rPr>
      <w:i/>
      <w:iCs/>
      <w:color w:val="404040" w:themeColor="text1" w:themeTint="BF"/>
    </w:rPr>
  </w:style>
  <w:style w:type="paragraph" w:styleId="a9">
    <w:name w:val="List Paragraph"/>
    <w:basedOn w:val="a"/>
    <w:uiPriority w:val="34"/>
    <w:qFormat/>
    <w:rsid w:val="00D64A26"/>
    <w:pPr>
      <w:ind w:left="720"/>
      <w:contextualSpacing/>
    </w:pPr>
  </w:style>
  <w:style w:type="character" w:styleId="aa">
    <w:name w:val="Intense Emphasis"/>
    <w:basedOn w:val="a0"/>
    <w:uiPriority w:val="21"/>
    <w:qFormat/>
    <w:rsid w:val="00D64A26"/>
    <w:rPr>
      <w:i/>
      <w:iCs/>
      <w:color w:val="0F4761" w:themeColor="accent1" w:themeShade="BF"/>
    </w:rPr>
  </w:style>
  <w:style w:type="paragraph" w:styleId="ab">
    <w:name w:val="Intense Quote"/>
    <w:basedOn w:val="a"/>
    <w:next w:val="a"/>
    <w:link w:val="ac"/>
    <w:uiPriority w:val="30"/>
    <w:qFormat/>
    <w:rsid w:val="00D64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64A26"/>
    <w:rPr>
      <w:i/>
      <w:iCs/>
      <w:color w:val="0F4761" w:themeColor="accent1" w:themeShade="BF"/>
    </w:rPr>
  </w:style>
  <w:style w:type="character" w:styleId="ad">
    <w:name w:val="Intense Reference"/>
    <w:basedOn w:val="a0"/>
    <w:uiPriority w:val="32"/>
    <w:qFormat/>
    <w:rsid w:val="00D64A26"/>
    <w:rPr>
      <w:b/>
      <w:bCs/>
      <w:smallCaps/>
      <w:color w:val="0F4761" w:themeColor="accent1" w:themeShade="BF"/>
      <w:spacing w:val="5"/>
    </w:rPr>
  </w:style>
  <w:style w:type="paragraph" w:styleId="ae">
    <w:name w:val="footnote text"/>
    <w:basedOn w:val="a"/>
    <w:link w:val="af"/>
    <w:uiPriority w:val="99"/>
    <w:semiHidden/>
    <w:unhideWhenUsed/>
    <w:rsid w:val="009F5A99"/>
    <w:pPr>
      <w:spacing w:after="0" w:line="240" w:lineRule="auto"/>
    </w:pPr>
    <w:rPr>
      <w:sz w:val="20"/>
      <w:szCs w:val="20"/>
    </w:rPr>
  </w:style>
  <w:style w:type="character" w:customStyle="1" w:styleId="af">
    <w:name w:val="טקסט הערת שוליים תו"/>
    <w:basedOn w:val="a0"/>
    <w:link w:val="ae"/>
    <w:uiPriority w:val="99"/>
    <w:semiHidden/>
    <w:rsid w:val="009F5A99"/>
    <w:rPr>
      <w:sz w:val="20"/>
      <w:szCs w:val="20"/>
    </w:rPr>
  </w:style>
  <w:style w:type="character" w:styleId="af0">
    <w:name w:val="footnote reference"/>
    <w:basedOn w:val="a0"/>
    <w:uiPriority w:val="99"/>
    <w:semiHidden/>
    <w:unhideWhenUsed/>
    <w:rsid w:val="009F5A99"/>
    <w:rPr>
      <w:vertAlign w:val="superscript"/>
    </w:rPr>
  </w:style>
  <w:style w:type="character" w:styleId="Hyperlink">
    <w:name w:val="Hyperlink"/>
    <w:basedOn w:val="a0"/>
    <w:uiPriority w:val="99"/>
    <w:unhideWhenUsed/>
    <w:rsid w:val="007C5FB3"/>
    <w:rPr>
      <w:color w:val="467886" w:themeColor="hyperlink"/>
      <w:u w:val="single"/>
    </w:rPr>
  </w:style>
  <w:style w:type="character" w:styleId="af1">
    <w:name w:val="Unresolved Mention"/>
    <w:basedOn w:val="a0"/>
    <w:uiPriority w:val="99"/>
    <w:semiHidden/>
    <w:unhideWhenUsed/>
    <w:rsid w:val="007C5FB3"/>
    <w:rPr>
      <w:color w:val="605E5C"/>
      <w:shd w:val="clear" w:color="auto" w:fill="E1DFDD"/>
    </w:rPr>
  </w:style>
  <w:style w:type="character" w:styleId="FollowedHyperlink">
    <w:name w:val="FollowedHyperlink"/>
    <w:basedOn w:val="a0"/>
    <w:uiPriority w:val="99"/>
    <w:semiHidden/>
    <w:unhideWhenUsed/>
    <w:rsid w:val="003F275C"/>
    <w:rPr>
      <w:color w:val="96607D" w:themeColor="followedHyperlink"/>
      <w:u w:val="single"/>
    </w:rPr>
  </w:style>
  <w:style w:type="character" w:customStyle="1" w:styleId="af2">
    <w:name w:val="מילה ראשונה"/>
    <w:basedOn w:val="a0"/>
    <w:rsid w:val="00E870C3"/>
    <w:rPr>
      <w:b/>
      <w:bCs/>
      <w:position w:val="-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otzaria://open/book/3907?index=889&amp;m=%D7%95%D7%9B%D7%A9%D7%A0%D7%95%D7%99%D7%99%D7%90%20%D7%A7%D7%9E%D7%90%20%D7%A7%D7%99%D7%99%22%D7%9C%20%D7%93%D7%94%D7%AA%D7%95%D7%A1'%20%D7%A4'%20%D7%A9%D7%91%D7%95%D7%A2%D7%95%D7%AA%20%D7%94%D7%93%D7%99%D7%99%D7%A0%D7%99%D7%9F3%20%D7%9E%D7%95%D7%9B%D7%97%D7%99%D7%9D%20%D7%93%D7%A1%22%D7%9C%20%D7%A9%D7%A0%D7%95%D7%99%D7%99%D7%90%20%D7%A7%D7%9E%D7%90%2C%20%D7%93%D7%94%D7%9D%20%D7%94%D7%A7%D7%A9%D7%95%20%D7%92%22%D7%9B%20%D7%90%D7%95%D7%AA%D7%95%20%D7%A7%D7%95%D7%A9%D7%99%D7%90%2C%20%D7%9E%22%D7%9E%20%D7%A9%D7%91%D7%95%D7%A2%D7%AA%20%D7%94%D7%A2%D7%93%D7%95%D7%AA%20%D7%95%D7%94%D7%A4%D7%A7%D7%93%D7%95%D7%9F%20%D7%93%D7%9C%D7%90%20%D7%91%D7%A2%D7%99%20%D7%90%D7%A0%D7%A7%D7%95%D7%98%D7%99%20%D7%97%D7%A4%D7%A6%D7%90%20%D7%95%D7%A2%D7%95%D7%9E%D7%93%D7%99%D7%9D%20%D7%91%D7%A7%D7%A9%D7%99%D7%90.%20%D7%95%D7%90%D7%9C%D7%95%20%D7%A1%22%D7%9C%20%D7%A9%D7%A0%D7%95%D7%99%D7%99%D7%90%20%D7%91%D7%AA%D7%A8%D7%90%20%D7%93%D7%90%D7%A0%D7%A7%D7%95%D7%98%D7%99%20%D7%97%D7%A4%D7%A6%D7%90%20%D7%94%D7%95%D7%90%20%D7%9B%D7%93%D7%99%20%D7%9C%D7%94%D7%98%D7%99%D7%9C%20%D7%90%D7%99%D7%9E%D7%94%20%D7%9C%D7%90%20%D7%94%D7%99%D7%94%20%D7%A7'%20%D7%9E%D7%99%D7%93%D7%99%20%D7%9B%D7%93%D7%90%D7%99%D7%AA%D7%90%20%D7%91%D7%90%D7%A9%D7%99%D7%A8%D7%99%20%D7%A4'%20%D7%A9%D7%91%D7%95%D7%A2%D7%95%D7%AA%20%D7%94%D7%93%D7%99%D7%99%D7%A0%D7%99%D7%9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otzaria://open/book/329?index=19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otzaria://open/book/7222?index=225" TargetMode="External"/><Relationship Id="rId5" Type="http://schemas.openxmlformats.org/officeDocument/2006/relationships/footnotes" Target="footnotes.xml"/><Relationship Id="rId10" Type="http://schemas.openxmlformats.org/officeDocument/2006/relationships/hyperlink" Target="otzaria://open/book/2263?index=768" TargetMode="External"/><Relationship Id="rId4" Type="http://schemas.openxmlformats.org/officeDocument/2006/relationships/webSettings" Target="webSettings.xml"/><Relationship Id="rId9" Type="http://schemas.openxmlformats.org/officeDocument/2006/relationships/hyperlink" Target="otzaria://open/book/3901?index=14088&amp;mark"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22E02-5B85-4744-B122-886F5CFD4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1</Pages>
  <Words>2141</Words>
  <Characters>9592</Characters>
  <Application>Microsoft Office Word</Application>
  <DocSecurity>0</DocSecurity>
  <Lines>355</Lines>
  <Paragraphs>69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זאב לונטל</dc:creator>
  <cp:keywords/>
  <dc:description/>
  <cp:lastModifiedBy>זאב לונטל</cp:lastModifiedBy>
  <cp:revision>20</cp:revision>
  <cp:lastPrinted>2026-08-28T06:50:00Z</cp:lastPrinted>
  <dcterms:created xsi:type="dcterms:W3CDTF">2026-08-21T06:32:00Z</dcterms:created>
  <dcterms:modified xsi:type="dcterms:W3CDTF">2026-08-30T07:16:00Z</dcterms:modified>
</cp:coreProperties>
</file>