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orthwind-complex-passwords-phase-1"/>
    <w:p>
      <w:pPr>
        <w:pStyle w:val="Heading1"/>
      </w:pPr>
      <w:r>
        <w:t xml:space="preserve">Northwind Energy Complex Passwords — Phase 1</w:t>
      </w:r>
    </w:p>
    <w:bookmarkStart w:id="10" w:name="project-charter"/>
    <w:p>
      <w:pPr>
        <w:pStyle w:val="Heading2"/>
      </w:pPr>
      <w:r>
        <w:t xml:space="preserve">Project Charter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BA-2026-PWSEC-001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 —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19,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 Document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FRD_Northwind Energy_Complex_Passwords.md — Functional Requirements Document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Northwind Energy (Aurora), a key MetroBill client (CID 9002), engaged a third-party security firm to audit the MetroBill Customer Portal. The audit identified three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 three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severity issues related to authentication vulnerabilities, including weak password validation, lenient password requirements, and insufficient anti-automation defenses on the login page.</w:t>
      </w:r>
    </w:p>
    <w:p>
      <w:pPr>
        <w:pStyle w:val="BodyText"/>
      </w:pPr>
      <w:r>
        <w:t xml:space="preserve">This project completes Phase 1 remediation by enforcing complex passwords, implementing anti-automation controls for logins, and preventing account enumeration across the Customer Portal. Although Northwind Energy’s white-label domain (</w:t>
      </w:r>
      <w:r>
        <w:rPr>
          <w:rStyle w:val="VerbatimChar"/>
        </w:rPr>
        <w:t xml:space="preserve">myaccount.aurora.example.com</w:t>
      </w:r>
      <w:r>
        <w:t xml:space="preserve">) is the primary focus, the implementation will be organization-wide, benefiting all MetroBill clients and enhancing overall security before broader SSO and MFA initiatives.</w:t>
      </w:r>
    </w:p>
    <w:p>
      <w:r>
        <w:pict>
          <v:rect style="width:0;height:1.5pt" o:hralign="center" o:hrstd="t" o:hr="t"/>
        </w:pict>
      </w:r>
    </w:p>
    <w:bookmarkEnd w:id="11"/>
    <w:bookmarkStart w:id="15" w:name="business-justification"/>
    <w:p>
      <w:pPr>
        <w:pStyle w:val="Heading2"/>
      </w:pPr>
      <w:r>
        <w:t xml:space="preserve">2. Business Justification</w:t>
      </w:r>
    </w:p>
    <w:bookmarkStart w:id="12" w:name="the-problem"/>
    <w:p>
      <w:pPr>
        <w:pStyle w:val="Heading3"/>
      </w:pPr>
      <w:r>
        <w:t xml:space="preserve">2.1 The Problem</w:t>
      </w:r>
    </w:p>
    <w:p>
      <w:pPr>
        <w:pStyle w:val="FirstParagraph"/>
      </w:pPr>
      <w:r>
        <w:t xml:space="preserve">Northwind Energy’s security audit surfaced the following Critical findings against the MetroBill Customer Portal: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 Validation 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Password validation does not offer sufficient protection against password guessing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Application does not enforce requirements that prevent use of weak, guessable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Anti-Automation (Login)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 CAPTCHA or rate-limiting on login page; only the Create Account page has CAPTCHA. Automated brute-force attacks are unimpeded.</w:t>
            </w:r>
            <w:r>
              <w:t xml:space="preserve"> </w:t>
            </w:r>
            <w:r>
              <w:rPr>
                <w:b/>
                <w:bCs/>
              </w:rPr>
              <w:t xml:space="preserve">UPDATE:</w:t>
            </w:r>
            <w:r>
              <w:t xml:space="preserve"> </w:t>
            </w:r>
            <w:r>
              <w:t xml:space="preserve">Now remediated — Google Cloud Armor CAPTCHA deployed at infrastructure level +</w:t>
            </w:r>
            <w:r>
              <w:t xml:space="preserve"> </w:t>
            </w:r>
            <w:r>
              <w:rPr>
                <w:rStyle w:val="VerbatimChar"/>
              </w:rPr>
              <w:t xml:space="preserve">Lockable</w:t>
            </w:r>
            <w:r>
              <w:t xml:space="preserve"> </w:t>
            </w:r>
            <w:r>
              <w:t xml:space="preserve">progressive lockout at application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Misimplemented Session Termination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Logout does not invalidate login tokens; sessions can be resumed by restoring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Enumeration via Response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Sign-in and Forgot Password pages return distinguishable responses that reveal whether an account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Multi-Factor 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out-of-band verifier (MFA)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Vulnerable jQuery/Bootstrap Libraries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Out-of-date frontend libraries with known CVEs</w:t>
            </w:r>
          </w:p>
        </w:tc>
      </w:tr>
    </w:tbl>
    <w:p>
      <w:pPr>
        <w:pStyle w:val="BodyText"/>
      </w:pPr>
      <w:r>
        <w:t xml:space="preserve">The current password requirement is minimal:</w:t>
      </w:r>
      <w:r>
        <w:t xml:space="preserve"> </w:t>
      </w:r>
      <w:r>
        <w:rPr>
          <w:b/>
          <w:bCs/>
        </w:rPr>
        <w:t xml:space="preserve">8 characters, at least 1 number, at least 1 letter</w:t>
      </w:r>
      <w:r>
        <w:t xml:space="preserve">. There is no enforcement of uppercase/lowercase mix, special characters, or checks against compromised password lists.</w:t>
      </w:r>
    </w:p>
    <w:bookmarkEnd w:id="12"/>
    <w:bookmarkStart w:id="13" w:name="operational-impact"/>
    <w:p>
      <w:pPr>
        <w:pStyle w:val="Heading3"/>
      </w:pPr>
      <w:r>
        <w:t xml:space="preserve">2.2 Operational Impact</w:t>
      </w:r>
    </w:p>
    <w:p>
      <w:pPr>
        <w:pStyle w:val="FirstParagraph"/>
      </w:pPr>
      <w:r>
        <w:rPr>
          <w:b/>
          <w:bCs/>
        </w:rPr>
        <w:t xml:space="preserve">If we don’t 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exposure:</w:t>
      </w:r>
      <w:r>
        <w:t xml:space="preserve"> </w:t>
      </w:r>
      <w:r>
        <w:t xml:space="preserve">Weak authentication controls lead to gaps in PCI DSS and SOC 2 compliance that affect all clients, not just Northwind Energy.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Breach liability:</w:t>
      </w:r>
      <w:r>
        <w:t xml:space="preserve"> </w:t>
      </w:r>
      <w:r>
        <w:t xml:space="preserve">Without anti-automation or complex passwords, the portal is vulnerable to credential stuffing and brute-force attacks at scale.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Cascading client demands:</w:t>
      </w:r>
      <w:r>
        <w:t xml:space="preserve"> </w:t>
      </w:r>
      <w:r>
        <w:t xml:space="preserve">Other clients conducting their own security audits will surface identical findings, multiplying remediation pressure.</w:t>
      </w:r>
    </w:p>
    <w:bookmarkEnd w:id="13"/>
    <w:bookmarkStart w:id="14" w:name="expected-business-outcomes"/>
    <w:p>
      <w:pPr>
        <w:pStyle w:val="Heading3"/>
      </w:pPr>
      <w:r>
        <w:t xml:space="preserve">2.3 Expected Business Outcomes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remediation:</w:t>
      </w:r>
      <w:r>
        <w:t xml:space="preserve"> </w:t>
      </w:r>
      <w:r>
        <w:t xml:space="preserve">Directly address 3 Critical and 2 High findings from Northwind Energy’s security audit to enable a clean retest.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hardening:</w:t>
      </w:r>
      <w:r>
        <w:t xml:space="preserve"> </w:t>
      </w:r>
      <w:r>
        <w:t xml:space="preserve">All MetroBill clients gain enhanced password enforcement and anti-brute-force protections without needing per-client customization.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alignment:</w:t>
      </w:r>
      <w:r>
        <w:t xml:space="preserve"> </w:t>
      </w:r>
      <w:r>
        <w:t xml:space="preserve">Align password policies with NIST SP 800-63B guidelines to enhance PCI DSS and SOC 2 compliance posture.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credential-based incidents:</w:t>
      </w:r>
      <w:r>
        <w:t xml:space="preserve"> </w:t>
      </w:r>
      <w:r>
        <w:t xml:space="preserve">Eliminate the most common attack vector (weak or guessable passwords) and make automated attacks difficult.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Foundation for Phase 2:</w:t>
      </w:r>
      <w:r>
        <w:t xml:space="preserve"> </w:t>
      </w:r>
      <w:r>
        <w:t xml:space="preserve">Establish the infrastructure for the password policy that MFA, password history, and SSO will build upon.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ject-scope"/>
    <w:p>
      <w:pPr>
        <w:pStyle w:val="Heading2"/>
      </w:pPr>
      <w:r>
        <w:t xml:space="preserve">3. Project Scope</w:t>
      </w:r>
    </w:p>
    <w:bookmarkStart w:id="16" w:name="in-scope-phase-1"/>
    <w:p>
      <w:pPr>
        <w:pStyle w:val="Heading3"/>
      </w:pPr>
      <w:r>
        <w:t xml:space="preserve">3.1 In Scope — Phase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 password enforcement</w:t>
      </w:r>
      <w:r>
        <w:t xml:space="preserve"> </w:t>
      </w:r>
      <w:r>
        <w:t xml:space="preserve">— Require minimum 8 characters (configurable, recommend 12+), including uppercase, lowercase, numeric, and special characters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password strength feedback</w:t>
      </w:r>
      <w:r>
        <w:t xml:space="preserve"> </w:t>
      </w:r>
      <w:r>
        <w:t xml:space="preserve">— Client-side UI indicating which requirements are met/unmet during password entry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anti-automation</w:t>
      </w:r>
      <w:r>
        <w:t xml:space="preserve"> </w:t>
      </w:r>
      <w:r>
        <w:t xml:space="preserve">— Already deployed: Google Cloud Armor CAPTCHA (infrastructure-level bot protection) +</w:t>
      </w:r>
      <w:r>
        <w:t xml:space="preserve"> </w:t>
      </w:r>
      <w:r>
        <w:rPr>
          <w:rStyle w:val="VerbatimChar"/>
        </w:rPr>
        <w:t xml:space="preserve">Lockable</w:t>
      </w:r>
      <w:r>
        <w:t xml:space="preserve"> </w:t>
      </w:r>
      <w:r>
        <w:t xml:space="preserve">progressive lockout (5 attempts max, 1-hour cooldown, all authenticatable models). Validate configuration covers Northwind Energy white-label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 enumeration prevention</w:t>
      </w:r>
      <w:r>
        <w:t xml:space="preserve"> </w:t>
      </w:r>
      <w:r>
        <w:t xml:space="preserve">— Normalize sign-in and forgot-password responses so they don’t reveal whether an account exists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Existing user grace period</w:t>
      </w:r>
      <w:r>
        <w:t xml:space="preserve"> </w:t>
      </w:r>
      <w:r>
        <w:t xml:space="preserve">— Users with non-compliant passwords are prompted to update at next login; not forced to change immediately</w:t>
      </w:r>
    </w:p>
    <w:bookmarkEnd w:id="16"/>
    <w:bookmarkStart w:id="17" w:name="out-of-scope-phase-2"/>
    <w:p>
      <w:pPr>
        <w:pStyle w:val="Heading3"/>
      </w:pPr>
      <w:r>
        <w:t xml:space="preserve">3.2 Out of Scope — Phase 2+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Multi-Factor Authentication (MFA)</w:t>
      </w:r>
      <w:r>
        <w:t xml:space="preserve"> </w:t>
      </w:r>
      <w:r>
        <w:t xml:space="preserve">— Separate initiative (AUTH-8, EPIC-AUTH-006); requires SMS gateway and authenticator app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Sign-On (SSO)</w:t>
      </w:r>
      <w:r>
        <w:t xml:space="preserve"> </w:t>
      </w:r>
      <w:r>
        <w:t xml:space="preserve">— Separate initiative (EPIC-AUTH-001); requires IAM platform selection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history / reuse prevention</w:t>
      </w:r>
      <w:r>
        <w:t xml:space="preserve"> </w:t>
      </w:r>
      <w:r>
        <w:t xml:space="preserve">— Deferred to Phase 2 (EPIC-AUTH-003)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expiration policies</w:t>
      </w:r>
      <w:r>
        <w:t xml:space="preserve"> </w:t>
      </w:r>
      <w:r>
        <w:t xml:space="preserve">— Deferred; NIST guidance recommends against forced rotation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termination hardening</w:t>
      </w:r>
      <w:r>
        <w:t xml:space="preserve"> </w:t>
      </w:r>
      <w:r>
        <w:t xml:space="preserve">— Related but separate concern; will be addressed in login-service security hardening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jQuery/Bootstrap library upgrades</w:t>
      </w:r>
      <w:r>
        <w:t xml:space="preserve"> </w:t>
      </w:r>
      <w:r>
        <w:t xml:space="preserve">— Tracked separately under frontend modernization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Configurable policy per company</w:t>
      </w:r>
      <w:r>
        <w:t xml:space="preserve"> </w:t>
      </w:r>
      <w:r>
        <w:t xml:space="preserve">— Allow password policy rules to be set at the company level (supports Northwind Energy-specific requirements while allowing other clients different thresholds)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Compromised password checking</w:t>
      </w:r>
      <w:r>
        <w:t xml:space="preserve"> </w:t>
      </w:r>
      <w:r>
        <w:t xml:space="preserve">— Validate new passwords against known breached password lists (e.g., Have I Been Pwned API or bundled list)</w:t>
      </w:r>
    </w:p>
    <w:bookmarkEnd w:id="17"/>
    <w:bookmarkStart w:id="18" w:name="target-clients"/>
    <w:p>
      <w:pPr>
        <w:pStyle w:val="Heading3"/>
      </w:pPr>
      <w:r>
        <w:t xml:space="preserve">3.3 Target Client(s)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Northwind Energy / Aurora (CID 9002) — White-label domain:</w:t>
      </w:r>
      <w:r>
        <w:t xml:space="preserve"> </w:t>
      </w:r>
      <w:r>
        <w:rPr>
          <w:rStyle w:val="VerbatimChar"/>
        </w:rPr>
        <w:t xml:space="preserve">myaccount.aurora.example.com</w:t>
      </w:r>
    </w:p>
    <w:p>
      <w:pPr>
        <w:pStyle w:val="BodyText"/>
      </w:pPr>
      <w:r>
        <w:rPr>
          <w:b/>
          <w:bCs/>
        </w:rPr>
        <w:t xml:space="preserve">Rollout:</w:t>
      </w:r>
      <w:r>
        <w:t xml:space="preserve"> </w:t>
      </w:r>
      <w:r>
        <w:t xml:space="preserve">Platform-wide. Password policy enforcement will be implemented, and Northwind Energy will be the first client with enhanced requirements enabled.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ccess-metrics"/>
    <w:p>
      <w:pPr>
        <w:pStyle w:val="Heading2"/>
      </w:pPr>
      <w:r>
        <w:t xml:space="preserve">4.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 (60 Days Post-Launch)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Northwind Energy audit Critical findings remediated</w:t>
            </w:r>
          </w:p>
        </w:tc>
        <w:tc>
          <w:tcPr/>
          <w:p>
            <w:pPr>
              <w:pStyle w:val="Compact"/>
            </w:pPr>
            <w:r>
              <w:t xml:space="preserve">3 Critical open</w:t>
            </w:r>
          </w:p>
        </w:tc>
        <w:tc>
          <w:tcPr/>
          <w:p>
            <w:pPr>
              <w:pStyle w:val="Compact"/>
            </w:pPr>
            <w:r>
              <w:t xml:space="preserve">0 Critical open (clean re-test)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Northwind Energy audit High findings remediated (in-scope)</w:t>
            </w:r>
          </w:p>
        </w:tc>
        <w:tc>
          <w:tcPr/>
          <w:p>
            <w:pPr>
              <w:pStyle w:val="Compact"/>
            </w:pPr>
            <w:r>
              <w:t xml:space="preserve">2 High open (enumeration + anti-automation)</w:t>
            </w:r>
          </w:p>
        </w:tc>
        <w:tc>
          <w:tcPr/>
          <w:p>
            <w:pPr>
              <w:pStyle w:val="Compact"/>
            </w:pPr>
            <w:r>
              <w:t xml:space="preserve">0 High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complexity compliance rate</w:t>
            </w:r>
          </w:p>
        </w:tc>
        <w:tc>
          <w:tcPr/>
          <w:p>
            <w:pPr>
              <w:pStyle w:val="Compact"/>
            </w:pPr>
            <w:r>
              <w:t xml:space="preserve">Unknown (no enforcement)</w:t>
            </w:r>
          </w:p>
        </w:tc>
        <w:tc>
          <w:tcPr/>
          <w:p>
            <w:pPr>
              <w:pStyle w:val="Compact"/>
            </w:pPr>
            <w:r>
              <w:t xml:space="preserve">80%+ of active users on compliant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login attack resistance</w:t>
            </w:r>
          </w:p>
        </w:tc>
        <w:tc>
          <w:tcPr/>
          <w:p>
            <w:pPr>
              <w:pStyle w:val="Compact"/>
            </w:pPr>
            <w:r>
              <w:t xml:space="preserve">0 protections (unlimited attempts)</w:t>
            </w:r>
          </w:p>
        </w:tc>
        <w:tc>
          <w:tcPr/>
          <w:p>
            <w:pPr>
              <w:pStyle w:val="Compact"/>
            </w:pPr>
            <w:r>
              <w:t xml:space="preserve">Rate limiting active; lockout after 5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Password-related support tickets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  <w:tc>
          <w:tcPr/>
          <w:p>
            <w:pPr>
              <w:pStyle w:val="Compact"/>
            </w:pPr>
            <w:r>
              <w:t xml:space="preserve">No increase &gt;10% (monitor for lockout-related tickets)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metrics establish measurable expectations. See companion FRD for specific acceptance criteria.</w:t>
      </w:r>
    </w:p>
    <w:p>
      <w:r>
        <w:pict>
          <v:rect style="width:0;height:1.5pt" o:hralign="center" o:hrstd="t" o:hr="t"/>
        </w:pict>
      </w:r>
    </w:p>
    <w:bookmarkEnd w:id="20"/>
    <w:bookmarkStart w:id="21" w:name="key-risks-mitigation"/>
    <w:p>
      <w:pPr>
        <w:pStyle w:val="Heading2"/>
      </w:pPr>
      <w:r>
        <w:t xml:space="preserve">5. Key 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lockouts spike after enforcement</w:t>
            </w:r>
          </w:p>
        </w:tc>
        <w:tc>
          <w:tcPr/>
          <w:p>
            <w:pPr>
              <w:pStyle w:val="Compact"/>
            </w:pPr>
            <w:r>
              <w:t xml:space="preserve">Support ticket surge, user frustration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Grace period for existing users; clear UI guidance; progressive lockout (not immediate)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Northwind Energy white-label cross-TLD complexity</w:t>
            </w:r>
          </w:p>
        </w:tc>
        <w:tc>
          <w:tcPr/>
          <w:p>
            <w:pPr>
              <w:pStyle w:val="Compact"/>
            </w:pPr>
            <w:r>
              <w:t xml:space="preserve">Password changes may not propagate correctly across</w:t>
            </w:r>
            <w:r>
              <w:t xml:space="preserve"> </w:t>
            </w:r>
            <w:r>
              <w:rPr>
                <w:rStyle w:val="VerbatimChar"/>
              </w:rPr>
              <w:t xml:space="preserve">northwind.example.com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metrobill.example.com</w:t>
            </w:r>
            <w:r>
              <w:t xml:space="preserve"> </w:t>
            </w:r>
            <w:r>
              <w:t xml:space="preserve">domains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Password changes happen at login-service layer which handles cross-TLD auth; test thoroughly on white-label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password list maintenance</w:t>
            </w:r>
          </w:p>
        </w:tc>
        <w:tc>
          <w:tcPr/>
          <w:p>
            <w:pPr>
              <w:pStyle w:val="Compact"/>
            </w:pPr>
            <w:r>
              <w:t xml:space="preserve">Stale list doesn’t catch new breaches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Use Have I Been Pwned API (k-anonymity model) or ship quarterly bundled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into MFA/SSO</w:t>
            </w:r>
          </w:p>
        </w:tc>
        <w:tc>
          <w:tcPr/>
          <w:p>
            <w:pPr>
              <w:pStyle w:val="Compact"/>
            </w:pPr>
            <w:r>
              <w:t xml:space="preserve">Phase 1 timeline expands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Hard scope boundary — MFA and SSO are explicitly Phase 2+. Document in FRD deferred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affects legitimate users</w:t>
            </w:r>
          </w:p>
        </w:tc>
        <w:tc>
          <w:tcPr/>
          <w:p>
            <w:pPr>
              <w:pStyle w:val="Compact"/>
            </w:pPr>
            <w:r>
              <w:t xml:space="preserve">Legitimate users locked out by typos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Progressive delays (1s, 2s, 5s, 15s) before hard lockout; lockout duration 15 min (not permanent)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API integrations</w:t>
            </w:r>
          </w:p>
        </w:tc>
        <w:tc>
          <w:tcPr/>
          <w:p>
            <w:pPr>
              <w:pStyle w:val="Compact"/>
            </w:pPr>
            <w:r>
              <w:t xml:space="preserve">API users may have weak passwords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Exempt API user realm from interactive password requirements; API auth uses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ey-stakeholders-roles"/>
    <w:p>
      <w:pPr>
        <w:pStyle w:val="Heading2"/>
      </w:pPr>
      <w:r>
        <w:t xml:space="preserve">6. Key Stakeholders &amp;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  <w:tc>
          <w:tcPr/>
          <w:p>
            <w:pPr>
              <w:pStyle w:val="Compact"/>
            </w:pPr>
            <w:r>
              <w:t xml:space="preserve">Approve scope, timeline, and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Nathaniel Genwright</w:t>
            </w:r>
          </w:p>
        </w:tc>
        <w:tc>
          <w:tcPr/>
          <w:p>
            <w:pPr>
              <w:pStyle w:val="Compact"/>
            </w:pPr>
            <w:r>
              <w:t xml:space="preserve">Own scope definition and business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Alex Petrov</w:t>
            </w:r>
          </w:p>
        </w:tc>
        <w:tc>
          <w:tcPr/>
          <w:p>
            <w:pPr>
              <w:pStyle w:val="Compact"/>
            </w:pPr>
            <w:r>
              <w:t xml:space="preserve">Lead technical implementation (login-service + legacy billing)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Operations</w:t>
            </w:r>
          </w:p>
        </w:tc>
        <w:tc>
          <w:tcPr/>
          <w:p>
            <w:pPr>
              <w:pStyle w:val="Compact"/>
            </w:pPr>
            <w:r>
              <w:t xml:space="preserve">Herman Brown / Alicia Williams</w:t>
            </w:r>
          </w:p>
        </w:tc>
        <w:tc>
          <w:tcPr/>
          <w:p>
            <w:pPr>
              <w:pStyle w:val="Compact"/>
            </w:pPr>
            <w:r>
              <w:t xml:space="preserve">Northwind Energy relationship; communicate timeline; coordinate re-test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Drew Griffin</w:t>
            </w:r>
          </w:p>
        </w:tc>
        <w:tc>
          <w:tcPr/>
          <w:p>
            <w:pPr>
              <w:pStyle w:val="Compact"/>
            </w:pPr>
            <w:r>
              <w:t xml:space="preserve">Execute test plan including white-label domain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Lindsey Hudock</w:t>
            </w:r>
          </w:p>
        </w:tc>
        <w:tc>
          <w:tcPr/>
          <w:p>
            <w:pPr>
              <w:pStyle w:val="Compact"/>
            </w:pPr>
            <w:r>
              <w:t xml:space="preserve">Validate remediation against audit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pendencies-constraints"/>
    <w:p>
      <w:pPr>
        <w:pStyle w:val="Heading2"/>
      </w:pPr>
      <w:r>
        <w:t xml:space="preserve">7. Dependencies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Impact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Login-service password validation layer</w:t>
            </w:r>
          </w:p>
        </w:tc>
        <w:tc>
          <w:tcPr/>
          <w:p>
            <w:pPr>
              <w:pStyle w:val="Compact"/>
            </w:pPr>
            <w:r>
              <w:t xml:space="preserve">Alex Petrov</w:t>
            </w:r>
          </w:p>
        </w:tc>
        <w:tc>
          <w:tcPr/>
          <w:p>
            <w:pPr>
              <w:pStyle w:val="Compact"/>
            </w:pPr>
            <w:r>
              <w:t xml:space="preserve">Password enforcement must be in login-service (not legacy app) to cover all auth flows including white-label cross-TLD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Northwind Energy re-test scheduling</w:t>
            </w:r>
          </w:p>
        </w:tc>
        <w:tc>
          <w:tcPr/>
          <w:p>
            <w:pPr>
              <w:pStyle w:val="Compact"/>
            </w:pPr>
            <w:r>
              <w:t xml:space="preserve">Herman Brown</w:t>
            </w:r>
          </w:p>
        </w:tc>
        <w:tc>
          <w:tcPr/>
          <w:p>
            <w:pPr>
              <w:pStyle w:val="Compact"/>
            </w:pPr>
            <w:r>
              <w:t xml:space="preserve">Remediation window — Northwind Energy expects a timeline; delays erode client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 compatibility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Password change UI must work across all portal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Company-level configuration model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Custom fields or settings table for per-company password policy; may require schema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pen-questions"/>
    <w:p>
      <w:pPr>
        <w:pStyle w:val="Heading2"/>
      </w:pPr>
      <w:r>
        <w:t xml:space="preserve">8.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Should we follow NIST guidance (length-focused, no complexity mandate) or traditional complexity (uppercase + lowercase + number + symbol)? Alex recommended NIST on PLAT-550. Northwind Energy audit implies they expect traditional complexity.</w:t>
            </w:r>
          </w:p>
        </w:tc>
        <w:tc>
          <w:tcPr/>
          <w:p>
            <w:pPr>
              <w:pStyle w:val="Compact"/>
            </w:pPr>
            <w:r>
              <w:t xml:space="preserve">Nathaniel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the minimum password length? Current = 8, NIST recommends 15, audit finding implies 8 is too weak. Propose 12 as compromise.</w:t>
            </w:r>
          </w:p>
        </w:tc>
        <w:tc>
          <w:tcPr/>
          <w:p>
            <w:pPr>
              <w:pStyle w:val="Compact"/>
            </w:pPr>
            <w:r>
              <w:t xml:space="preserve">Nathaniel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Should password policy be retroactive (force existing users to change) or opt-in at next login?</w:t>
            </w:r>
          </w:p>
        </w:tc>
        <w:tc>
          <w:tcPr/>
          <w:p>
            <w:pPr>
              <w:pStyle w:val="Compact"/>
            </w:pPr>
            <w:r>
              <w:t xml:space="preserve">Nathaniel /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Does Northwind Energy have a specific compliance framework (e.g., NERC CIP, SOC 2) driving their password requirements beyond the audit?</w:t>
            </w:r>
          </w:p>
        </w:tc>
        <w:tc>
          <w:tcPr/>
          <w:p>
            <w:pPr>
              <w:pStyle w:val="Compact"/>
            </w:pPr>
            <w:r>
              <w:t xml:space="preserve">Herman Brown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Can we use Have I Been Pwned’s k-anonymity API in production, or do we need an on-premise breached password list for data privacy reasons?</w:t>
            </w:r>
          </w:p>
        </w:tc>
        <w:tc>
          <w:tcPr/>
          <w:p>
            <w:pPr>
              <w:pStyle w:val="Compact"/>
            </w:pPr>
            <w:r>
              <w:t xml:space="preserve">Engineering /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What is the Northwind Energy timeline expectation for remediation? Do they have a re-test date scheduled?</w:t>
            </w:r>
          </w:p>
        </w:tc>
        <w:tc>
          <w:tcPr/>
          <w:p>
            <w:pPr>
              <w:pStyle w:val="Compact"/>
            </w:pPr>
            <w:r>
              <w:t xml:space="preserve">Herman Brown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Should the anti-automation mechanism be CAPTCHA-based, rate-limit-based, or both?</w:t>
            </w:r>
            <w:r>
              <w:t xml:space="preserve"> </w:t>
            </w:r>
            <w:r>
              <w:rPr>
                <w:b/>
                <w:bCs/>
              </w:rPr>
              <w:t xml:space="preserve">RESOLVED:</w:t>
            </w:r>
            <w:r>
              <w:t xml:space="preserve"> </w:t>
            </w:r>
            <w:r>
              <w:t xml:space="preserve">Both — Cloud Armor CAPTCHA (infrastructure) + Lockable lockout (application) already deployed.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How do we want to track user migration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Review the submission sent from Northwind Energy to propose a phase1 policy; Then we can expand on the policy into future phases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engineering-review-feedback-v1.2"/>
    <w:p>
      <w:pPr>
        <w:pStyle w:val="Heading2"/>
      </w:pPr>
      <w:r>
        <w:t xml:space="preserve">9. Engineering Review Feedback (v1.2)</w:t>
      </w:r>
    </w:p>
    <w:p>
      <w:pPr>
        <w:pStyle w:val="BlockText"/>
      </w:pPr>
      <w:r>
        <w:t xml:space="preserve">The following feedback was collected from the engineering review of the v1.1 draft. Comments are attributed to their reviewers and organized by scope item.</w:t>
      </w:r>
    </w:p>
    <w:bookmarkStart w:id="25" w:name="phase-1-in-scope-sizing-estimates"/>
    <w:p>
      <w:pPr>
        <w:pStyle w:val="Heading3"/>
      </w:pPr>
      <w:r>
        <w:t xml:space="preserve">Phase 1 In-Scope Sizing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 Item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password enforcement</w:t>
            </w:r>
          </w:p>
        </w:tc>
        <w:tc>
          <w:tcPr/>
          <w:p>
            <w:pPr>
              <w:pStyle w:val="Compact"/>
            </w:pPr>
            <w:r>
              <w:t xml:space="preserve">GU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 day dev, 1 day test</w:t>
            </w:r>
          </w:p>
        </w:tc>
        <w:tc>
          <w:tcPr/>
          <w:p>
            <w:pPr>
              <w:pStyle w:val="Compact"/>
            </w:pPr>
            <w:r>
              <w:t xml:space="preserve">Company-specific change in login-service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password strength feedback</w:t>
            </w:r>
          </w:p>
        </w:tc>
        <w:tc>
          <w:tcPr/>
          <w:p>
            <w:pPr>
              <w:pStyle w:val="Compact"/>
            </w:pPr>
            <w:r>
              <w:t xml:space="preserve">Alex (DT)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Already built</w:t>
            </w:r>
          </w:p>
        </w:tc>
        <w:tc>
          <w:tcPr/>
          <w:p>
            <w:pPr>
              <w:pStyle w:val="Compact"/>
            </w:pPr>
            <w:r>
              <w:t xml:space="preserve">Login-service UI already has user feedback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anti-automation</w:t>
            </w:r>
          </w:p>
        </w:tc>
        <w:tc>
          <w:tcPr/>
          <w:p>
            <w:pPr>
              <w:pStyle w:val="Compact"/>
            </w:pPr>
            <w:r>
              <w:t xml:space="preserve">Alex (DT) / Infra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Already in production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layers already deployed.</w:t>
            </w:r>
            <w:r>
              <w:t xml:space="preserve"> </w:t>
            </w:r>
            <w:r>
              <w:t xml:space="preserve">(1) Google Cloud Armor CAPTCHA at infrastructure level — enterprise-grade adaptive bot protection covering all login endpoints. (2) Per-account progressive lockout via the</w:t>
            </w:r>
            <w:r>
              <w:t xml:space="preserve"> </w:t>
            </w:r>
            <w:r>
              <w:rPr>
                <w:rStyle w:val="VerbatimChar"/>
              </w:rPr>
              <w:t xml:space="preserve">Lockable</w:t>
            </w:r>
            <w:r>
              <w:t xml:space="preserve"> </w:t>
            </w:r>
            <w:r>
              <w:t xml:space="preserve">concern (</w:t>
            </w:r>
            <w:r>
              <w:rPr>
                <w:rStyle w:val="VerbatimChar"/>
              </w:rPr>
              <w:t xml:space="preserve">login-service/rails/app/models/concerns/lockable.rb</w:t>
            </w:r>
            <w:r>
              <w:t xml:space="preserve">): 5 failed attempts max (</w:t>
            </w:r>
            <w:r>
              <w:rPr>
                <w:rStyle w:val="VerbatimChar"/>
              </w:rPr>
              <w:t xml:space="preserve">MAX_FAILED_ATTEMPTS = 5</w:t>
            </w:r>
            <w:r>
              <w:t xml:space="preserve">), 1-hour auto-lockout cooldown, user-facing messages (</w:t>
            </w:r>
            <w:r>
              <w:t xml:space="preserve">“Too many incorrect passwords…”</w:t>
            </w:r>
            <w:r>
              <w:t xml:space="preserve">), applied to all authenticatable models (User, Customer, Admin, ParcelOwner), password reset clears lockout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enumeration prevention</w:t>
            </w:r>
          </w:p>
        </w:tc>
        <w:tc>
          <w:tcPr/>
          <w:p>
            <w:pPr>
              <w:pStyle w:val="Compact"/>
            </w:pPr>
            <w:r>
              <w:t xml:space="preserve">Alex (DT)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 day dev, 1 day QA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user grace period</w:t>
            </w:r>
          </w:p>
        </w:tc>
        <w:tc>
          <w:tcPr/>
          <w:p>
            <w:pPr>
              <w:pStyle w:val="Compact"/>
            </w:pPr>
            <w:r>
              <w:t xml:space="preserve">Alex (DT)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 days dev</w:t>
            </w:r>
          </w:p>
        </w:tc>
        <w:tc>
          <w:tcPr/>
          <w:p>
            <w:pPr>
              <w:pStyle w:val="Compact"/>
            </w:pPr>
            <w:r>
              <w:t xml:space="preserve">Need to design a mechanism for tracking user migration status</w:t>
            </w:r>
          </w:p>
        </w:tc>
      </w:tr>
    </w:tbl>
    <w:bookmarkEnd w:id="25"/>
    <w:bookmarkStart w:id="26" w:name="Xb47a9be7020845d28ea95ec9be2f7c9d440b1ca"/>
    <w:p>
      <w:pPr>
        <w:pStyle w:val="Heading3"/>
      </w:pPr>
      <w:r>
        <w:t xml:space="preserve">Phase 2+ Deferred Items — Engineering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Deferred Item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policy per company</w:t>
            </w:r>
          </w:p>
        </w:tc>
        <w:tc>
          <w:tcPr/>
          <w:p>
            <w:pPr>
              <w:pStyle w:val="Compact"/>
            </w:pPr>
            <w:r>
              <w:t xml:space="preserve">Alex (DT)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 days dev.</w:t>
            </w:r>
            <w:r>
              <w:t xml:space="preserve"> </w:t>
            </w:r>
            <w:r>
              <w:rPr>
                <w:b/>
                <w:bCs/>
              </w:rPr>
              <w:t xml:space="preserve">Recommended approach:</w:t>
            </w:r>
            <w:r>
              <w:t xml:space="preserve"> </w:t>
            </w:r>
            <w:r>
              <w:t xml:space="preserve">Northwind Energy-specific shim — they get their own policy but rest of companies don’t. Policy will be hard-coded in business logic and non-manageable. Northwind Energy needs to provide the policy they want, or reference a governing document (e.g., NIST SP 800-63B-4)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password checking</w:t>
            </w:r>
          </w:p>
        </w:tc>
        <w:tc>
          <w:tcPr/>
          <w:p>
            <w:pPr>
              <w:pStyle w:val="Compact"/>
            </w:pPr>
            <w:r>
              <w:t xml:space="preserve">GU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~3 weeks R&amp;D. Introduces 3rd-party vendor calls to login process. Requires research and development, vendor selection, sandbox environment, etc.</w:t>
            </w:r>
          </w:p>
        </w:tc>
      </w:tr>
    </w:tbl>
    <w:bookmarkEnd w:id="26"/>
    <w:bookmarkStart w:id="27" w:name="additional-feedback"/>
    <w:p>
      <w:pPr>
        <w:pStyle w:val="Heading3"/>
      </w:pPr>
      <w:r>
        <w:t xml:space="preserve">Additional Feedback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[LF] on CAPTCHA (Q7):</w:t>
      </w:r>
      <w:r>
        <w:t xml:space="preserve"> </w:t>
      </w:r>
      <w:r>
        <w:t xml:space="preserve">Initially flagged that AI can bypass traditional CAPTCHA.</w:t>
      </w:r>
      <w:r>
        <w:t xml:space="preserve"> </w:t>
      </w:r>
      <w:r>
        <w:rPr>
          <w:b/>
          <w:bCs/>
        </w:rPr>
        <w:t xml:space="preserve">Resolved:</w:t>
      </w:r>
      <w:r>
        <w:t xml:space="preserve"> </w:t>
      </w:r>
      <w:r>
        <w:t xml:space="preserve">Google Cloud Armor CAPTCHA is already deployed at infrastructure level, providing enterprise-grade adaptive bot protection. Combined with the existing</w:t>
      </w:r>
      <w:r>
        <w:t xml:space="preserve"> </w:t>
      </w:r>
      <w:r>
        <w:rPr>
          <w:rStyle w:val="VerbatimChar"/>
        </w:rPr>
        <w:t xml:space="preserve">Lockable</w:t>
      </w:r>
      <w:r>
        <w:t xml:space="preserve"> </w:t>
      </w:r>
      <w:r>
        <w:t xml:space="preserve">progressive lockout, the anti-automation audit finding is fully addressed with defense-in-depth. Q7 is closed.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pprovals"/>
    <w:p>
      <w:pPr>
        <w:pStyle w:val="Heading2"/>
      </w:pPr>
      <w:r>
        <w:t xml:space="preserve">10. 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Nathaniel Genwright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Alex Petrov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authoritative Project Charter. For user stories, acceptance criteria, and engineering requirements, see companion document</w:t>
      </w:r>
      <w:r>
        <w:rPr>
          <w:i/>
          <w:iCs/>
        </w:rPr>
        <w:t xml:space="preserve"> </w:t>
      </w:r>
      <w:hyperlink r:id="rId9">
        <w:r>
          <w:rPr>
            <w:rStyle w:val="Hyperlink"/>
            <w:b/>
            <w:bCs/>
            <w:i/>
            <w:iCs/>
          </w:rPr>
          <w:t xml:space="preserve">FRD_Northwind Energy_Complex_Passwords.md</w:t>
        </w:r>
      </w:hyperlink>
      <w:r>
        <w:rPr>
          <w:i/>
          <w:iCs/>
        </w:rP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/FRD_Northwind Energy_Complex_Passwords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/FRD_Northwind Energy_Complex_Password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Nathaniel Genwright</dc:creator>
  <cp:keywords/>
  <dcterms:created xsi:type="dcterms:W3CDTF">2026-03-19T18:46:39Z</dcterms:created>
  <dcterms:modified xsi:type="dcterms:W3CDTF">2026-03-19T18:46:39Z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