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FE1" w:rsidRDefault="00552FE1">
      <w:pPr>
        <w:rPr>
          <w:rFonts w:ascii="Times New Roman" w:eastAsia="Times New Roman" w:hAnsi="Times New Roman" w:cs="Times New Roman"/>
          <w:b/>
          <w:color w:val="333333"/>
          <w:sz w:val="72"/>
          <w:szCs w:val="72"/>
          <w:highlight w:val="white"/>
        </w:rPr>
      </w:pPr>
    </w:p>
    <w:p w:rsidR="00552FE1" w:rsidRDefault="00552FE1">
      <w:pPr>
        <w:rPr>
          <w:rFonts w:ascii="Times New Roman" w:eastAsia="Times New Roman" w:hAnsi="Times New Roman" w:cs="Times New Roman"/>
          <w:b/>
          <w:color w:val="333333"/>
          <w:sz w:val="72"/>
          <w:szCs w:val="72"/>
          <w:highlight w:val="white"/>
        </w:rPr>
      </w:pPr>
    </w:p>
    <w:p w:rsidR="000148C5" w:rsidRPr="00552FE1" w:rsidRDefault="000148C5">
      <w:pPr>
        <w:rPr>
          <w:rFonts w:ascii="Arial" w:eastAsia="Times New Roman" w:hAnsi="Arial" w:cs="Arial"/>
          <w:color w:val="000000" w:themeColor="text1"/>
          <w:sz w:val="72"/>
          <w:szCs w:val="72"/>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552FE1">
        <w:rPr>
          <w:rFonts w:ascii="Arial" w:eastAsia="Times New Roman" w:hAnsi="Arial" w:cs="Arial"/>
          <w:color w:val="000000" w:themeColor="text1"/>
          <w:sz w:val="72"/>
          <w:szCs w:val="72"/>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Super Bow</w:t>
      </w:r>
      <w:bookmarkStart w:id="0" w:name="_GoBack"/>
      <w:bookmarkEnd w:id="0"/>
      <w:r w:rsidRPr="00552FE1">
        <w:rPr>
          <w:rFonts w:ascii="Arial" w:eastAsia="Times New Roman" w:hAnsi="Arial" w:cs="Arial"/>
          <w:color w:val="000000" w:themeColor="text1"/>
          <w:sz w:val="72"/>
          <w:szCs w:val="72"/>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l indicator</w:t>
      </w:r>
    </w:p>
    <w:p w:rsidR="000148C5" w:rsidRPr="00D02A82" w:rsidRDefault="000148C5" w:rsidP="000148C5">
      <w:pPr>
        <w:rPr>
          <w:rFonts w:ascii="Arial" w:eastAsia="Times New Roman" w:hAnsi="Arial" w:cs="Arial"/>
          <w:color w:val="333333"/>
          <w:sz w:val="28"/>
          <w:szCs w:val="28"/>
          <w:highlight w:val="white"/>
        </w:rPr>
      </w:pPr>
      <w:r w:rsidRPr="00D02A82">
        <w:rPr>
          <w:rFonts w:ascii="Arial" w:eastAsia="Times New Roman" w:hAnsi="Arial" w:cs="Arial"/>
          <w:color w:val="333333"/>
          <w:sz w:val="28"/>
          <w:szCs w:val="28"/>
          <w:highlight w:val="white"/>
        </w:rPr>
        <w:t>Impact of Super Bowl results on market and particular sectors</w:t>
      </w:r>
    </w:p>
    <w:p w:rsidR="000148C5" w:rsidRPr="00552FE1" w:rsidRDefault="00552FE1">
      <w:pPr>
        <w:rPr>
          <w:rFonts w:ascii="Arial" w:eastAsia="Times New Roman" w:hAnsi="Arial" w:cs="Arial"/>
          <w:b/>
          <w:color w:val="333333"/>
          <w:sz w:val="30"/>
          <w:szCs w:val="30"/>
          <w:highlight w:val="white"/>
          <w14:ligatures w14:val="standardContextual"/>
        </w:rPr>
      </w:pPr>
      <w:r w:rsidRPr="00552FE1">
        <w:rPr>
          <w:rFonts w:ascii="Arial" w:eastAsia="Times New Roman" w:hAnsi="Arial" w:cs="Arial"/>
          <w:b/>
          <w:noProof/>
          <w:color w:val="808080" w:themeColor="background1" w:themeShade="80"/>
          <w:sz w:val="30"/>
          <w:szCs w:val="30"/>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90170</wp:posOffset>
                </wp:positionV>
                <wp:extent cx="6122504" cy="0"/>
                <wp:effectExtent l="0" t="12700" r="24765" b="12700"/>
                <wp:wrapNone/>
                <wp:docPr id="5" name="Straight Connector 5"/>
                <wp:cNvGraphicFramePr/>
                <a:graphic xmlns:a="http://schemas.openxmlformats.org/drawingml/2006/main">
                  <a:graphicData uri="http://schemas.microsoft.com/office/word/2010/wordprocessingShape">
                    <wps:wsp>
                      <wps:cNvCnPr/>
                      <wps:spPr>
                        <a:xfrm flipV="1">
                          <a:off x="0" y="0"/>
                          <a:ext cx="6122504" cy="0"/>
                        </a:xfrm>
                        <a:prstGeom prst="line">
                          <a:avLst/>
                        </a:prstGeom>
                        <a:ln w="254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270AEA" id="Straight Connector 5"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7.1pt" to="483.35pt,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" strokecolor="#7f7f7f [1612]" strokeweight="2pt">
                <v:stroke joinstyle="miter"/>
              </v:line>
            </w:pict>
          </mc:Fallback>
        </mc:AlternateContent>
      </w:r>
    </w:p>
    <w:p w:rsidR="000148C5" w:rsidRPr="009F05DF" w:rsidRDefault="00552FE1">
      <w:pPr>
        <w:rPr>
          <w:rFonts w:ascii="Arial" w:eastAsia="Times New Roman" w:hAnsi="Arial" w:cs="Arial"/>
          <w:b/>
          <w:color w:val="A6A6A6" w:themeColor="background1" w:themeShade="A6"/>
          <w:sz w:val="24"/>
          <w:szCs w:val="24"/>
          <w:highlight w:val="white"/>
        </w:rPr>
      </w:pPr>
      <w:proofErr w:type="spellStart"/>
      <w:r w:rsidRPr="009F05DF">
        <w:rPr>
          <w:rFonts w:ascii="Arial" w:eastAsia="Times New Roman" w:hAnsi="Arial" w:cs="Arial"/>
          <w:b/>
          <w:color w:val="333333"/>
          <w:sz w:val="24"/>
          <w:szCs w:val="24"/>
          <w:highlight w:val="white"/>
        </w:rPr>
        <w:t>Chenjian</w:t>
      </w:r>
      <w:proofErr w:type="spellEnd"/>
      <w:r w:rsidRPr="009F05DF">
        <w:rPr>
          <w:rFonts w:ascii="Arial" w:eastAsia="Times New Roman" w:hAnsi="Arial" w:cs="Arial"/>
          <w:b/>
          <w:color w:val="333333"/>
          <w:sz w:val="24"/>
          <w:szCs w:val="24"/>
          <w:highlight w:val="white"/>
        </w:rPr>
        <w:t xml:space="preserve"> Yang, Jeff Lv</w:t>
      </w:r>
    </w:p>
    <w:p w:rsidR="000148C5" w:rsidRPr="00552FE1" w:rsidRDefault="000148C5">
      <w:pPr>
        <w:rPr>
          <w:rFonts w:ascii="Times New Roman" w:eastAsia="Times New Roman" w:hAnsi="Times New Roman" w:cs="Times New Roman"/>
          <w:b/>
          <w:color w:val="BFBFBF" w:themeColor="background1" w:themeShade="BF"/>
          <w:sz w:val="30"/>
          <w:szCs w:val="30"/>
          <w:highlight w:val="white"/>
        </w:rPr>
      </w:pPr>
    </w:p>
    <w:p w:rsidR="000148C5" w:rsidRDefault="000148C5">
      <w:pPr>
        <w:rPr>
          <w:rFonts w:ascii="Times New Roman" w:eastAsia="Times New Roman" w:hAnsi="Times New Roman" w:cs="Times New Roman"/>
          <w:b/>
          <w:color w:val="333333"/>
          <w:sz w:val="30"/>
          <w:szCs w:val="30"/>
          <w:highlight w:val="white"/>
        </w:rPr>
      </w:pPr>
    </w:p>
    <w:p w:rsidR="000148C5" w:rsidRDefault="000148C5">
      <w:pPr>
        <w:rPr>
          <w:rFonts w:ascii="Times New Roman" w:eastAsia="Times New Roman" w:hAnsi="Times New Roman" w:cs="Times New Roman"/>
          <w:b/>
          <w:color w:val="333333"/>
          <w:sz w:val="30"/>
          <w:szCs w:val="30"/>
          <w:highlight w:val="white"/>
        </w:rPr>
      </w:pPr>
    </w:p>
    <w:p w:rsidR="000148C5" w:rsidRDefault="000148C5">
      <w:pPr>
        <w:rPr>
          <w:rFonts w:ascii="Times New Roman" w:eastAsia="Times New Roman" w:hAnsi="Times New Roman" w:cs="Times New Roman"/>
          <w:b/>
          <w:color w:val="333333"/>
          <w:sz w:val="30"/>
          <w:szCs w:val="30"/>
          <w:highlight w:val="white"/>
        </w:rPr>
      </w:pPr>
    </w:p>
    <w:p w:rsidR="00552FE1" w:rsidRDefault="00552FE1">
      <w:pPr>
        <w:rPr>
          <w:rFonts w:ascii="Times New Roman" w:eastAsia="Times New Roman" w:hAnsi="Times New Roman" w:cs="Times New Roman"/>
          <w:b/>
          <w:i/>
          <w:color w:val="333333"/>
          <w:sz w:val="28"/>
          <w:szCs w:val="28"/>
          <w:highlight w:val="white"/>
        </w:rPr>
      </w:pPr>
    </w:p>
    <w:p w:rsidR="00552FE1" w:rsidRDefault="00552FE1">
      <w:pPr>
        <w:rPr>
          <w:rFonts w:ascii="Times New Roman" w:eastAsia="Times New Roman" w:hAnsi="Times New Roman" w:cs="Times New Roman"/>
          <w:b/>
          <w:i/>
          <w:color w:val="333333"/>
          <w:sz w:val="28"/>
          <w:szCs w:val="28"/>
          <w:highlight w:val="white"/>
        </w:rPr>
      </w:pPr>
    </w:p>
    <w:p w:rsidR="00552FE1" w:rsidRDefault="00552FE1">
      <w:pPr>
        <w:rPr>
          <w:rFonts w:ascii="Times New Roman" w:eastAsia="Times New Roman" w:hAnsi="Times New Roman" w:cs="Times New Roman"/>
          <w:b/>
          <w:i/>
          <w:color w:val="333333"/>
          <w:sz w:val="28"/>
          <w:szCs w:val="28"/>
          <w:highlight w:val="white"/>
        </w:rPr>
      </w:pPr>
    </w:p>
    <w:p w:rsidR="00552FE1" w:rsidRDefault="00552FE1">
      <w:pPr>
        <w:rPr>
          <w:rFonts w:ascii="Times New Roman" w:eastAsia="Times New Roman" w:hAnsi="Times New Roman" w:cs="Times New Roman"/>
          <w:b/>
          <w:i/>
          <w:color w:val="333333"/>
          <w:sz w:val="28"/>
          <w:szCs w:val="28"/>
          <w:highlight w:val="white"/>
        </w:rPr>
      </w:pPr>
    </w:p>
    <w:p w:rsidR="00552FE1" w:rsidRDefault="00552FE1">
      <w:pPr>
        <w:rPr>
          <w:rFonts w:ascii="Times New Roman" w:eastAsia="Times New Roman" w:hAnsi="Times New Roman" w:cs="Times New Roman"/>
          <w:b/>
          <w:i/>
          <w:color w:val="333333"/>
          <w:sz w:val="28"/>
          <w:szCs w:val="28"/>
          <w:highlight w:val="white"/>
        </w:rPr>
      </w:pPr>
    </w:p>
    <w:p w:rsidR="00552FE1" w:rsidRDefault="00552FE1">
      <w:pPr>
        <w:rPr>
          <w:rFonts w:ascii="Times New Roman" w:eastAsia="Times New Roman" w:hAnsi="Times New Roman" w:cs="Times New Roman"/>
          <w:b/>
          <w:i/>
          <w:color w:val="333333"/>
          <w:sz w:val="28"/>
          <w:szCs w:val="28"/>
          <w:highlight w:val="white"/>
        </w:rPr>
      </w:pPr>
    </w:p>
    <w:p w:rsidR="00552FE1" w:rsidRDefault="00552FE1">
      <w:pPr>
        <w:rPr>
          <w:rFonts w:ascii="Times New Roman" w:eastAsia="Times New Roman" w:hAnsi="Times New Roman" w:cs="Times New Roman"/>
          <w:b/>
          <w:i/>
          <w:color w:val="333333"/>
          <w:sz w:val="28"/>
          <w:szCs w:val="28"/>
          <w:highlight w:val="white"/>
        </w:rPr>
      </w:pPr>
    </w:p>
    <w:p w:rsidR="00552FE1" w:rsidRDefault="00552FE1">
      <w:pPr>
        <w:rPr>
          <w:rFonts w:ascii="Times New Roman" w:eastAsia="Times New Roman" w:hAnsi="Times New Roman" w:cs="Times New Roman"/>
          <w:b/>
          <w:i/>
          <w:color w:val="333333"/>
          <w:sz w:val="28"/>
          <w:szCs w:val="28"/>
          <w:highlight w:val="white"/>
        </w:rPr>
      </w:pPr>
    </w:p>
    <w:p w:rsidR="009F05DF" w:rsidRDefault="00552FE1">
      <w:pPr>
        <w:rPr>
          <w:rFonts w:ascii="Times New Roman" w:eastAsia="Times New Roman" w:hAnsi="Times New Roman" w:cs="Times New Roman"/>
          <w:b/>
          <w:i/>
          <w:color w:val="333333"/>
          <w:sz w:val="22"/>
          <w:szCs w:val="22"/>
          <w:highlight w:val="white"/>
        </w:rPr>
      </w:pPr>
      <w:r w:rsidRPr="00552FE1">
        <w:rPr>
          <w:rFonts w:ascii="Times New Roman" w:eastAsia="Times New Roman" w:hAnsi="Times New Roman" w:cs="Times New Roman"/>
          <w:b/>
          <w:i/>
          <w:color w:val="333333"/>
          <w:sz w:val="22"/>
          <w:szCs w:val="22"/>
          <w:highlight w:val="white"/>
        </w:rPr>
        <w:t xml:space="preserve">This document is the report of the group project for IEOR 4150 (Probability and Statistics), taught by Dr. Antonius </w:t>
      </w:r>
      <w:proofErr w:type="spellStart"/>
      <w:r w:rsidRPr="00552FE1">
        <w:rPr>
          <w:rFonts w:ascii="Times New Roman" w:eastAsia="Times New Roman" w:hAnsi="Times New Roman" w:cs="Times New Roman"/>
          <w:b/>
          <w:i/>
          <w:color w:val="333333"/>
          <w:sz w:val="22"/>
          <w:szCs w:val="22"/>
          <w:highlight w:val="white"/>
        </w:rPr>
        <w:t>Dieker</w:t>
      </w:r>
      <w:proofErr w:type="spellEnd"/>
      <w:r w:rsidRPr="00552FE1">
        <w:rPr>
          <w:rFonts w:ascii="Times New Roman" w:eastAsia="Times New Roman" w:hAnsi="Times New Roman" w:cs="Times New Roman"/>
          <w:b/>
          <w:i/>
          <w:color w:val="333333"/>
          <w:sz w:val="22"/>
          <w:szCs w:val="22"/>
          <w:highlight w:val="white"/>
        </w:rPr>
        <w:t>.</w:t>
      </w:r>
    </w:p>
    <w:p w:rsidR="002E69C1" w:rsidRPr="009F05DF" w:rsidRDefault="00E3253E">
      <w:pPr>
        <w:rPr>
          <w:rFonts w:ascii="Times New Roman" w:eastAsia="Times New Roman" w:hAnsi="Times New Roman" w:cs="Times New Roman"/>
          <w:b/>
          <w:i/>
          <w:color w:val="333333"/>
          <w:sz w:val="22"/>
          <w:szCs w:val="22"/>
          <w:highlight w:val="white"/>
        </w:rPr>
      </w:pPr>
      <w:r>
        <w:rPr>
          <w:rFonts w:ascii="Times New Roman" w:eastAsia="Times New Roman" w:hAnsi="Times New Roman" w:cs="Times New Roman"/>
          <w:b/>
          <w:color w:val="333333"/>
          <w:sz w:val="30"/>
          <w:szCs w:val="30"/>
          <w:highlight w:val="white"/>
        </w:rPr>
        <w:lastRenderedPageBreak/>
        <w:t>Data Set</w:t>
      </w:r>
    </w:p>
    <w:p w:rsidR="002E69C1" w:rsidRDefault="002E69C1">
      <w:pPr>
        <w:rPr>
          <w:rFonts w:ascii="Times New Roman" w:eastAsia="Times New Roman" w:hAnsi="Times New Roman" w:cs="Times New Roman"/>
          <w:b/>
          <w:color w:val="333333"/>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Our data set consists of the daily closing prices of the S&amp;P 500 Index and 9 Exchange-traded Funds (ETFs) every trading day from January 1, 2009 to December 6, 2018. A total of 2499 data points were collected for each stock and the daily closing prices were taken from Yahoo Finance. The ticker symbol and the full name of the ETFs they represent in our data set are:</w:t>
      </w:r>
    </w:p>
    <w:p w:rsidR="002E69C1" w:rsidRDefault="002E69C1">
      <w:pPr>
        <w:rPr>
          <w:rFonts w:ascii="Times New Roman" w:eastAsia="Times New Roman" w:hAnsi="Times New Roman" w:cs="Times New Roman"/>
          <w:b/>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PBJ - Invesco Dynamic Food &amp; Beverage ETF </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XLP - Consumer Staples Select Sector SPDR ETF </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PAGG - Invesco Global Agriculture ETF</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FUD - UBS ETRACS CMCI Food Total Return ETF </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PEJ - Invesco Dynamic Leisure and </w:t>
      </w:r>
      <w:proofErr w:type="spellStart"/>
      <w:r>
        <w:rPr>
          <w:rFonts w:ascii="Times New Roman" w:eastAsia="Times New Roman" w:hAnsi="Times New Roman" w:cs="Times New Roman"/>
          <w:sz w:val="27"/>
          <w:szCs w:val="27"/>
          <w:highlight w:val="white"/>
        </w:rPr>
        <w:t>Entmnt</w:t>
      </w:r>
      <w:proofErr w:type="spellEnd"/>
      <w:r>
        <w:rPr>
          <w:rFonts w:ascii="Times New Roman" w:eastAsia="Times New Roman" w:hAnsi="Times New Roman" w:cs="Times New Roman"/>
          <w:sz w:val="27"/>
          <w:szCs w:val="27"/>
          <w:highlight w:val="white"/>
        </w:rPr>
        <w:t xml:space="preserve"> ETF </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PBS - Invesco Dynamic Media ETF </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BJK - </w:t>
      </w:r>
      <w:proofErr w:type="spellStart"/>
      <w:r>
        <w:rPr>
          <w:rFonts w:ascii="Times New Roman" w:eastAsia="Times New Roman" w:hAnsi="Times New Roman" w:cs="Times New Roman"/>
          <w:sz w:val="27"/>
          <w:szCs w:val="27"/>
          <w:highlight w:val="white"/>
        </w:rPr>
        <w:t>VanEck</w:t>
      </w:r>
      <w:proofErr w:type="spellEnd"/>
      <w:r>
        <w:rPr>
          <w:rFonts w:ascii="Times New Roman" w:eastAsia="Times New Roman" w:hAnsi="Times New Roman" w:cs="Times New Roman"/>
          <w:sz w:val="27"/>
          <w:szCs w:val="27"/>
          <w:highlight w:val="white"/>
        </w:rPr>
        <w:t xml:space="preserve"> Vectors Gaming ETF </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XLY - Consumer </w:t>
      </w:r>
      <w:proofErr w:type="spellStart"/>
      <w:r>
        <w:rPr>
          <w:rFonts w:ascii="Times New Roman" w:eastAsia="Times New Roman" w:hAnsi="Times New Roman" w:cs="Times New Roman"/>
          <w:sz w:val="27"/>
          <w:szCs w:val="27"/>
          <w:highlight w:val="white"/>
        </w:rPr>
        <w:t>Discret</w:t>
      </w:r>
      <w:proofErr w:type="spellEnd"/>
      <w:r>
        <w:rPr>
          <w:rFonts w:ascii="Times New Roman" w:eastAsia="Times New Roman" w:hAnsi="Times New Roman" w:cs="Times New Roman"/>
          <w:sz w:val="27"/>
          <w:szCs w:val="27"/>
          <w:highlight w:val="white"/>
        </w:rPr>
        <w:t xml:space="preserve"> </w:t>
      </w:r>
      <w:proofErr w:type="spellStart"/>
      <w:r>
        <w:rPr>
          <w:rFonts w:ascii="Times New Roman" w:eastAsia="Times New Roman" w:hAnsi="Times New Roman" w:cs="Times New Roman"/>
          <w:sz w:val="27"/>
          <w:szCs w:val="27"/>
          <w:highlight w:val="white"/>
        </w:rPr>
        <w:t>Sel</w:t>
      </w:r>
      <w:proofErr w:type="spellEnd"/>
      <w:r>
        <w:rPr>
          <w:rFonts w:ascii="Times New Roman" w:eastAsia="Times New Roman" w:hAnsi="Times New Roman" w:cs="Times New Roman"/>
          <w:sz w:val="27"/>
          <w:szCs w:val="27"/>
          <w:highlight w:val="white"/>
        </w:rPr>
        <w:t xml:space="preserve"> Sect SPDR ETF </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IGN - iShares North </w:t>
      </w:r>
      <w:proofErr w:type="spellStart"/>
      <w:r>
        <w:rPr>
          <w:rFonts w:ascii="Times New Roman" w:eastAsia="Times New Roman" w:hAnsi="Times New Roman" w:cs="Times New Roman"/>
          <w:sz w:val="27"/>
          <w:szCs w:val="27"/>
          <w:highlight w:val="white"/>
        </w:rPr>
        <w:t>Amer</w:t>
      </w:r>
      <w:proofErr w:type="spellEnd"/>
      <w:r>
        <w:rPr>
          <w:rFonts w:ascii="Times New Roman" w:eastAsia="Times New Roman" w:hAnsi="Times New Roman" w:cs="Times New Roman"/>
          <w:sz w:val="27"/>
          <w:szCs w:val="27"/>
          <w:highlight w:val="white"/>
        </w:rPr>
        <w:t xml:space="preserve"> Tech-</w:t>
      </w:r>
      <w:proofErr w:type="spellStart"/>
      <w:r>
        <w:rPr>
          <w:rFonts w:ascii="Times New Roman" w:eastAsia="Times New Roman" w:hAnsi="Times New Roman" w:cs="Times New Roman"/>
          <w:sz w:val="27"/>
          <w:szCs w:val="27"/>
          <w:highlight w:val="white"/>
        </w:rPr>
        <w:t>Multimd</w:t>
      </w:r>
      <w:proofErr w:type="spellEnd"/>
      <w:r>
        <w:rPr>
          <w:rFonts w:ascii="Times New Roman" w:eastAsia="Times New Roman" w:hAnsi="Times New Roman" w:cs="Times New Roman"/>
          <w:sz w:val="27"/>
          <w:szCs w:val="27"/>
          <w:highlight w:val="white"/>
        </w:rPr>
        <w:t xml:space="preserve"> </w:t>
      </w:r>
      <w:proofErr w:type="spellStart"/>
      <w:r>
        <w:rPr>
          <w:rFonts w:ascii="Times New Roman" w:eastAsia="Times New Roman" w:hAnsi="Times New Roman" w:cs="Times New Roman"/>
          <w:sz w:val="27"/>
          <w:szCs w:val="27"/>
          <w:highlight w:val="white"/>
        </w:rPr>
        <w:t>Ntwk</w:t>
      </w:r>
      <w:proofErr w:type="spellEnd"/>
      <w:r>
        <w:rPr>
          <w:rFonts w:ascii="Times New Roman" w:eastAsia="Times New Roman" w:hAnsi="Times New Roman" w:cs="Times New Roman"/>
          <w:sz w:val="27"/>
          <w:szCs w:val="27"/>
          <w:highlight w:val="white"/>
        </w:rPr>
        <w:t xml:space="preserve"> ETF</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The aforementioned ETFs are drawn from a pool ETFs focusing in food &amp; beverage or media &amp; entertainment. </w:t>
      </w:r>
    </w:p>
    <w:p w:rsidR="002E69C1" w:rsidRDefault="002E69C1">
      <w:pPr>
        <w:rPr>
          <w:rFonts w:ascii="Times New Roman" w:eastAsia="Times New Roman" w:hAnsi="Times New Roman" w:cs="Times New Roman"/>
          <w:b/>
          <w:sz w:val="27"/>
          <w:szCs w:val="27"/>
          <w:highlight w:val="white"/>
        </w:rPr>
      </w:pPr>
    </w:p>
    <w:p w:rsidR="002E69C1" w:rsidRDefault="00E3253E">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Project Goals</w:t>
      </w:r>
    </w:p>
    <w:p w:rsidR="002E69C1" w:rsidRDefault="002E69C1">
      <w:pPr>
        <w:rPr>
          <w:rFonts w:ascii="Times New Roman" w:eastAsia="Times New Roman" w:hAnsi="Times New Roman" w:cs="Times New Roman"/>
          <w:b/>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Our project focuses on testing one of the most puzzling investment axioms - the Super Bowl indicator. The axiom states that “when a team from the original NFL (prior to the AFL merger) wins the Super Bowl, the stock market has a good year” (</w:t>
      </w:r>
      <w:proofErr w:type="spellStart"/>
      <w:r>
        <w:rPr>
          <w:rFonts w:ascii="Times New Roman" w:eastAsia="Times New Roman" w:hAnsi="Times New Roman" w:cs="Times New Roman"/>
          <w:sz w:val="27"/>
          <w:szCs w:val="27"/>
          <w:highlight w:val="white"/>
        </w:rPr>
        <w:t>Wallick</w:t>
      </w:r>
      <w:proofErr w:type="spellEnd"/>
      <w:r>
        <w:rPr>
          <w:rFonts w:ascii="Times New Roman" w:eastAsia="Times New Roman" w:hAnsi="Times New Roman" w:cs="Times New Roman"/>
          <w:sz w:val="27"/>
          <w:szCs w:val="27"/>
          <w:highlight w:val="white"/>
        </w:rPr>
        <w:t xml:space="preserve">, 2009).  </w:t>
      </w:r>
      <w:proofErr w:type="gramStart"/>
      <w:r>
        <w:rPr>
          <w:rFonts w:ascii="Times New Roman" w:eastAsia="Times New Roman" w:hAnsi="Times New Roman" w:cs="Times New Roman"/>
          <w:sz w:val="27"/>
          <w:szCs w:val="27"/>
          <w:highlight w:val="white"/>
        </w:rPr>
        <w:t>Firstly</w:t>
      </w:r>
      <w:proofErr w:type="gramEnd"/>
      <w:r>
        <w:rPr>
          <w:rFonts w:ascii="Times New Roman" w:eastAsia="Times New Roman" w:hAnsi="Times New Roman" w:cs="Times New Roman"/>
          <w:sz w:val="27"/>
          <w:szCs w:val="27"/>
          <w:highlight w:val="white"/>
        </w:rPr>
        <w:t xml:space="preserve"> we hope to test whether that statement is true by identifying the years </w:t>
      </w:r>
      <w:r>
        <w:rPr>
          <w:rFonts w:ascii="Times New Roman" w:eastAsia="Times New Roman" w:hAnsi="Times New Roman" w:cs="Times New Roman"/>
          <w:sz w:val="27"/>
          <w:szCs w:val="27"/>
          <w:highlight w:val="white"/>
        </w:rPr>
        <w:lastRenderedPageBreak/>
        <w:t xml:space="preserve">in which the original NFL teams win and tracking the S&amp;P 500 index. On top of comparing overall market performance, we further hypothesized that impact of an original NFL team win on the stock market is passed through several channels such as sports media and entertainment as well as the food &amp; beverage industry. </w:t>
      </w:r>
      <w:r w:rsidR="00DE51E5">
        <w:rPr>
          <w:rFonts w:ascii="Times New Roman" w:eastAsia="Times New Roman" w:hAnsi="Times New Roman" w:cs="Times New Roman"/>
          <w:sz w:val="27"/>
          <w:szCs w:val="27"/>
          <w:highlight w:val="white"/>
        </w:rPr>
        <w:t>Therefore,</w:t>
      </w:r>
      <w:r>
        <w:rPr>
          <w:rFonts w:ascii="Times New Roman" w:eastAsia="Times New Roman" w:hAnsi="Times New Roman" w:cs="Times New Roman"/>
          <w:sz w:val="27"/>
          <w:szCs w:val="27"/>
          <w:highlight w:val="white"/>
        </w:rPr>
        <w:t xml:space="preserve"> we selected ETFs that allocate a predominant weight on the sectors and industries mentioned above.</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Despite the fact that the Super Bowl indicator seem extremely strange and nonsensical, if it does predict the market direction with high accuracy, then Super Bowl results each year would present our client with highly useful information in terms of capturing potential investment opportunities or adjusting their portfolio weights. </w:t>
      </w:r>
      <w:r w:rsidR="00DE51E5">
        <w:rPr>
          <w:rFonts w:ascii="Times New Roman" w:eastAsia="Times New Roman" w:hAnsi="Times New Roman" w:cs="Times New Roman"/>
          <w:sz w:val="27"/>
          <w:szCs w:val="27"/>
          <w:highlight w:val="white"/>
        </w:rPr>
        <w:t>Therefore,</w:t>
      </w:r>
      <w:r>
        <w:rPr>
          <w:rFonts w:ascii="Times New Roman" w:eastAsia="Times New Roman" w:hAnsi="Times New Roman" w:cs="Times New Roman"/>
          <w:sz w:val="27"/>
          <w:szCs w:val="27"/>
          <w:highlight w:val="white"/>
        </w:rPr>
        <w:t xml:space="preserve"> we hope that </w:t>
      </w:r>
      <w:r w:rsidR="00DE51E5">
        <w:rPr>
          <w:rFonts w:ascii="Times New Roman" w:eastAsia="Times New Roman" w:hAnsi="Times New Roman" w:cs="Times New Roman"/>
          <w:sz w:val="27"/>
          <w:szCs w:val="27"/>
          <w:highlight w:val="white"/>
        </w:rPr>
        <w:t>conducting statistical</w:t>
      </w:r>
      <w:r>
        <w:rPr>
          <w:rFonts w:ascii="Times New Roman" w:eastAsia="Times New Roman" w:hAnsi="Times New Roman" w:cs="Times New Roman"/>
          <w:sz w:val="27"/>
          <w:szCs w:val="27"/>
          <w:highlight w:val="white"/>
        </w:rPr>
        <w:t xml:space="preserve"> tests could lead t</w:t>
      </w:r>
      <w:r w:rsidR="00DE51E5">
        <w:rPr>
          <w:rFonts w:ascii="Times New Roman" w:eastAsia="Times New Roman" w:hAnsi="Times New Roman" w:cs="Times New Roman"/>
          <w:sz w:val="27"/>
          <w:szCs w:val="27"/>
          <w:highlight w:val="white"/>
        </w:rPr>
        <w:t xml:space="preserve">o </w:t>
      </w:r>
      <w:r>
        <w:rPr>
          <w:rFonts w:ascii="Times New Roman" w:eastAsia="Times New Roman" w:hAnsi="Times New Roman" w:cs="Times New Roman"/>
          <w:sz w:val="27"/>
          <w:szCs w:val="27"/>
          <w:highlight w:val="white"/>
        </w:rPr>
        <w:t>a more informed decision regarding whether or not to increase investment activities along with which ETFs to invest in depending on the winning team of the Super Bowl.</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For the S&amp;P 500 index, we first want to test whether the daily log returns are consistent with a normal random sample. Regardless of the results, we will continue with the remaining analysis. </w:t>
      </w:r>
      <w:r w:rsidR="00DE51E5">
        <w:rPr>
          <w:rFonts w:ascii="Times New Roman" w:eastAsia="Times New Roman" w:hAnsi="Times New Roman" w:cs="Times New Roman"/>
          <w:sz w:val="27"/>
          <w:szCs w:val="27"/>
          <w:highlight w:val="white"/>
        </w:rPr>
        <w:t>Next,</w:t>
      </w:r>
      <w:r>
        <w:rPr>
          <w:rFonts w:ascii="Times New Roman" w:eastAsia="Times New Roman" w:hAnsi="Times New Roman" w:cs="Times New Roman"/>
          <w:sz w:val="27"/>
          <w:szCs w:val="27"/>
          <w:highlight w:val="white"/>
        </w:rPr>
        <w:t xml:space="preserve"> we assess the S&amp;P 500 index’s performance by computing the mean and variance of the daily log-returns. We will also create approximate confidence intervals for the mean and variance given a 95% confidence level. Finally, we perform a regression of the log-return on time to see if there </w:t>
      </w:r>
      <w:r w:rsidR="003F7421">
        <w:rPr>
          <w:rFonts w:ascii="Times New Roman" w:eastAsia="Times New Roman" w:hAnsi="Times New Roman" w:cs="Times New Roman"/>
          <w:sz w:val="27"/>
          <w:szCs w:val="27"/>
          <w:highlight w:val="white"/>
        </w:rPr>
        <w:t>are</w:t>
      </w:r>
      <w:r>
        <w:rPr>
          <w:rFonts w:ascii="Times New Roman" w:eastAsia="Times New Roman" w:hAnsi="Times New Roman" w:cs="Times New Roman"/>
          <w:sz w:val="27"/>
          <w:szCs w:val="27"/>
          <w:highlight w:val="white"/>
        </w:rPr>
        <w:t xml:space="preserve"> any general trends that we could take advantage of. Then we perform the same procedure for all the individual ETFs we selected.</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After answering the basic questions, we then ask the question of whether the event of an original NFL team winning Super Bowl correlates with better index or ETF performances. In order to answer this </w:t>
      </w:r>
      <w:r w:rsidR="003F7421">
        <w:rPr>
          <w:rFonts w:ascii="Times New Roman" w:eastAsia="Times New Roman" w:hAnsi="Times New Roman" w:cs="Times New Roman"/>
          <w:sz w:val="27"/>
          <w:szCs w:val="27"/>
          <w:highlight w:val="white"/>
        </w:rPr>
        <w:t>question, we</w:t>
      </w:r>
      <w:r>
        <w:rPr>
          <w:rFonts w:ascii="Times New Roman" w:eastAsia="Times New Roman" w:hAnsi="Times New Roman" w:cs="Times New Roman"/>
          <w:sz w:val="27"/>
          <w:szCs w:val="27"/>
          <w:highlight w:val="white"/>
        </w:rPr>
        <w:t xml:space="preserve"> first need to separate years from 2009 to 2018 into those in which an original NFL team wins the Super Bowl (Year = 1) and the rest (Years = 0). Then we calculate the means and variances conditional on Year = 1 and Year = 0. Lastly, we test the equalities of the two means and two variances to see whether there is a statistically significant difference.</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lastRenderedPageBreak/>
        <w:t xml:space="preserve">In addition to testing equality of population means, we will employ a linear regression of log returns on the Year dummy variable to see whether Year = 1, which corresponds to an original NFL team winning Super </w:t>
      </w:r>
      <w:r w:rsidR="003F7421">
        <w:rPr>
          <w:rFonts w:ascii="Times New Roman" w:eastAsia="Times New Roman" w:hAnsi="Times New Roman" w:cs="Times New Roman"/>
          <w:sz w:val="27"/>
          <w:szCs w:val="27"/>
          <w:highlight w:val="white"/>
        </w:rPr>
        <w:t>Bowl, has</w:t>
      </w:r>
      <w:r>
        <w:rPr>
          <w:rFonts w:ascii="Times New Roman" w:eastAsia="Times New Roman" w:hAnsi="Times New Roman" w:cs="Times New Roman"/>
          <w:sz w:val="27"/>
          <w:szCs w:val="27"/>
          <w:highlight w:val="white"/>
        </w:rPr>
        <w:t xml:space="preserve"> a statistically significant effect on log-returns.</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b/>
          <w:sz w:val="30"/>
          <w:szCs w:val="30"/>
          <w:highlight w:val="white"/>
        </w:rPr>
      </w:pPr>
      <w:r>
        <w:rPr>
          <w:rFonts w:ascii="Times New Roman" w:eastAsia="Times New Roman" w:hAnsi="Times New Roman" w:cs="Times New Roman"/>
          <w:b/>
          <w:sz w:val="30"/>
          <w:szCs w:val="30"/>
          <w:highlight w:val="white"/>
        </w:rPr>
        <w:t>Analysis</w:t>
      </w:r>
    </w:p>
    <w:p w:rsidR="002E69C1" w:rsidRDefault="002E69C1">
      <w:pPr>
        <w:rPr>
          <w:rFonts w:ascii="Times New Roman" w:eastAsia="Times New Roman" w:hAnsi="Times New Roman" w:cs="Times New Roman"/>
          <w:b/>
          <w:sz w:val="30"/>
          <w:szCs w:val="30"/>
          <w:highlight w:val="white"/>
        </w:rPr>
      </w:pPr>
    </w:p>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S&amp;P 500 &amp; Single ETF Analyses</w:t>
      </w:r>
    </w:p>
    <w:p w:rsidR="005372B6" w:rsidRDefault="005372B6">
      <w:pPr>
        <w:rPr>
          <w:rFonts w:ascii="Times New Roman" w:eastAsia="Times New Roman" w:hAnsi="Times New Roman" w:cs="Times New Roman"/>
          <w:sz w:val="27"/>
          <w:szCs w:val="27"/>
          <w:highlight w:val="white"/>
        </w:rPr>
      </w:pPr>
      <w:r w:rsidRPr="005372B6">
        <w:rPr>
          <w:rFonts w:ascii="Times New Roman" w:eastAsia="Times New Roman" w:hAnsi="Times New Roman" w:cs="Times New Roman"/>
          <w:sz w:val="27"/>
          <w:szCs w:val="27"/>
          <w:highlight w:val="white"/>
        </w:rPr>
        <w:t xml:space="preserve">At the very beginning, we look at some indicative results of Super Bowl indicator on S&amp;P500. </w:t>
      </w:r>
      <w:r>
        <w:rPr>
          <w:rFonts w:ascii="Times New Roman" w:eastAsia="Times New Roman" w:hAnsi="Times New Roman" w:cs="Times New Roman"/>
          <w:sz w:val="27"/>
          <w:szCs w:val="27"/>
          <w:highlight w:val="white"/>
        </w:rPr>
        <w:t xml:space="preserve">As we know Super Bowl always take place on Sundays, we are wondering if an original team (indicated by dummy variable = 1) wins the Super Bowl: 1) gives boost to the S&amp;P500 index on the following Monday, 2) gives boost to the S&amp;P500 index for the following week, 3) gives boost to the S&amp;P500 index for the month, 4) </w:t>
      </w:r>
      <w:r>
        <w:rPr>
          <w:rFonts w:ascii="Times New Roman" w:eastAsia="Times New Roman" w:hAnsi="Times New Roman" w:cs="Times New Roman"/>
          <w:sz w:val="27"/>
          <w:szCs w:val="27"/>
          <w:highlight w:val="white"/>
        </w:rPr>
        <w:t>gives boost to the S&amp;P500 index for the following</w:t>
      </w:r>
      <w:r>
        <w:rPr>
          <w:rFonts w:ascii="Times New Roman" w:eastAsia="Times New Roman" w:hAnsi="Times New Roman" w:cs="Times New Roman"/>
          <w:sz w:val="27"/>
          <w:szCs w:val="27"/>
          <w:highlight w:val="white"/>
        </w:rPr>
        <w:t xml:space="preserve"> for the year.</w:t>
      </w:r>
    </w:p>
    <w:p w:rsidR="00A035CA" w:rsidRDefault="00A035CA">
      <w:pPr>
        <w:rPr>
          <w:rFonts w:ascii="Times New Roman" w:eastAsia="Times New Roman" w:hAnsi="Times New Roman" w:cs="Times New Roman"/>
          <w:sz w:val="27"/>
          <w:szCs w:val="27"/>
          <w:highlight w:val="white"/>
        </w:rPr>
      </w:pPr>
    </w:p>
    <w:p w:rsidR="00A035CA" w:rsidRDefault="00A035CA">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The following table shows our finding:</w:t>
      </w:r>
    </w:p>
    <w:p w:rsidR="005372B6" w:rsidRDefault="00A035CA">
      <w:pPr>
        <w:rPr>
          <w:rFonts w:ascii="Times New Roman" w:eastAsia="Times New Roman" w:hAnsi="Times New Roman" w:cs="Times New Roman"/>
          <w:sz w:val="27"/>
          <w:szCs w:val="27"/>
          <w:highlight w:val="white"/>
        </w:rPr>
      </w:pPr>
      <w:r w:rsidRPr="00A035CA">
        <w:rPr>
          <w:rFonts w:ascii="Times New Roman" w:eastAsia="Times New Roman" w:hAnsi="Times New Roman" w:cs="Times New Roman"/>
          <w:sz w:val="27"/>
          <w:szCs w:val="27"/>
        </w:rPr>
        <w:drawing>
          <wp:inline distT="0" distB="0" distL="0" distR="0" wp14:anchorId="1EF19182" wp14:editId="13C84780">
            <wp:extent cx="3670300" cy="44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0300" cy="444500"/>
                    </a:xfrm>
                    <a:prstGeom prst="rect">
                      <a:avLst/>
                    </a:prstGeom>
                  </pic:spPr>
                </pic:pic>
              </a:graphicData>
            </a:graphic>
          </wp:inline>
        </w:drawing>
      </w:r>
    </w:p>
    <w:p w:rsidR="00AD4362" w:rsidRDefault="00A035CA">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Note: </w:t>
      </w:r>
    </w:p>
    <w:p w:rsidR="00A035CA" w:rsidRPr="00AD4362" w:rsidRDefault="00A035CA" w:rsidP="00AD4362">
      <w:pPr>
        <w:pStyle w:val="ListParagraph"/>
        <w:numPr>
          <w:ilvl w:val="0"/>
          <w:numId w:val="5"/>
        </w:numPr>
        <w:rPr>
          <w:rFonts w:ascii="Times New Roman" w:eastAsia="Times New Roman" w:hAnsi="Times New Roman" w:cs="Times New Roman"/>
          <w:sz w:val="27"/>
          <w:szCs w:val="27"/>
          <w:highlight w:val="white"/>
        </w:rPr>
      </w:pPr>
      <w:r w:rsidRPr="00AD4362">
        <w:rPr>
          <w:rFonts w:ascii="Times New Roman" w:eastAsia="Times New Roman" w:hAnsi="Times New Roman" w:cs="Times New Roman"/>
          <w:sz w:val="27"/>
          <w:szCs w:val="27"/>
          <w:highlight w:val="white"/>
        </w:rPr>
        <w:t xml:space="preserve">Avg_Daily_return is </w:t>
      </w:r>
      <w:r w:rsidR="006B0EC3" w:rsidRPr="00AD4362">
        <w:rPr>
          <w:rFonts w:ascii="Times New Roman" w:eastAsia="Times New Roman" w:hAnsi="Times New Roman" w:cs="Times New Roman"/>
          <w:sz w:val="27"/>
          <w:szCs w:val="27"/>
          <w:highlight w:val="white"/>
        </w:rPr>
        <w:t>defined by comparing the Opening Price on the following Monday with the Closing Price of the previous Friday</w:t>
      </w:r>
      <w:r w:rsidR="00AD4362" w:rsidRPr="00AD4362">
        <w:rPr>
          <w:rFonts w:ascii="Times New Roman" w:eastAsia="Times New Roman" w:hAnsi="Times New Roman" w:cs="Times New Roman"/>
          <w:sz w:val="27"/>
          <w:szCs w:val="27"/>
          <w:highlight w:val="white"/>
        </w:rPr>
        <w:t>, taking the average from 1967 to 2018.</w:t>
      </w:r>
    </w:p>
    <w:p w:rsidR="00AD4362" w:rsidRPr="00AD4362" w:rsidRDefault="00AD4362" w:rsidP="00AD4362">
      <w:pPr>
        <w:pStyle w:val="ListParagraph"/>
        <w:numPr>
          <w:ilvl w:val="0"/>
          <w:numId w:val="5"/>
        </w:numPr>
        <w:rPr>
          <w:rFonts w:ascii="Times New Roman" w:eastAsia="Times New Roman" w:hAnsi="Times New Roman" w:cs="Times New Roman" w:hint="eastAsia"/>
          <w:sz w:val="27"/>
          <w:szCs w:val="27"/>
          <w:highlight w:val="white"/>
        </w:rPr>
      </w:pPr>
      <w:r w:rsidRPr="00AD4362">
        <w:rPr>
          <w:rFonts w:ascii="Times New Roman" w:eastAsia="Times New Roman" w:hAnsi="Times New Roman" w:cs="Times New Roman"/>
          <w:sz w:val="27"/>
          <w:szCs w:val="27"/>
          <w:highlight w:val="white"/>
        </w:rPr>
        <w:t>Avg_</w:t>
      </w:r>
      <w:r>
        <w:rPr>
          <w:rFonts w:ascii="Times New Roman" w:eastAsia="Times New Roman" w:hAnsi="Times New Roman" w:cs="Times New Roman"/>
          <w:sz w:val="27"/>
          <w:szCs w:val="27"/>
          <w:highlight w:val="white"/>
        </w:rPr>
        <w:t>Week</w:t>
      </w:r>
      <w:r w:rsidRPr="00AD4362">
        <w:rPr>
          <w:rFonts w:ascii="Times New Roman" w:eastAsia="Times New Roman" w:hAnsi="Times New Roman" w:cs="Times New Roman"/>
          <w:sz w:val="27"/>
          <w:szCs w:val="27"/>
          <w:highlight w:val="white"/>
        </w:rPr>
        <w:t xml:space="preserve">ly_return is defined by comparing the </w:t>
      </w:r>
      <w:r>
        <w:rPr>
          <w:rFonts w:ascii="Times New Roman" w:eastAsia="Times New Roman" w:hAnsi="Times New Roman" w:cs="Times New Roman"/>
          <w:sz w:val="27"/>
          <w:szCs w:val="27"/>
          <w:highlight w:val="white"/>
        </w:rPr>
        <w:t>Clos</w:t>
      </w:r>
      <w:r w:rsidRPr="00AD4362">
        <w:rPr>
          <w:rFonts w:ascii="Times New Roman" w:eastAsia="Times New Roman" w:hAnsi="Times New Roman" w:cs="Times New Roman"/>
          <w:sz w:val="27"/>
          <w:szCs w:val="27"/>
          <w:highlight w:val="white"/>
        </w:rPr>
        <w:t xml:space="preserve">ing Price on the </w:t>
      </w:r>
      <w:r>
        <w:rPr>
          <w:rFonts w:ascii="Times New Roman" w:eastAsia="Times New Roman" w:hAnsi="Times New Roman" w:cs="Times New Roman"/>
          <w:sz w:val="27"/>
          <w:szCs w:val="27"/>
          <w:highlight w:val="white"/>
        </w:rPr>
        <w:t>of the last trading day of the following week</w:t>
      </w:r>
      <w:r w:rsidRPr="00AD4362">
        <w:rPr>
          <w:rFonts w:ascii="Times New Roman" w:eastAsia="Times New Roman" w:hAnsi="Times New Roman" w:cs="Times New Roman"/>
          <w:sz w:val="27"/>
          <w:szCs w:val="27"/>
          <w:highlight w:val="white"/>
        </w:rPr>
        <w:t xml:space="preserve"> with the Closing Price of the previous Friday, taking the average from 1967 to 2018.</w:t>
      </w:r>
    </w:p>
    <w:p w:rsidR="00AD4362" w:rsidRPr="00AD4362" w:rsidRDefault="00AD4362" w:rsidP="00AD4362">
      <w:pPr>
        <w:pStyle w:val="ListParagraph"/>
        <w:numPr>
          <w:ilvl w:val="0"/>
          <w:numId w:val="5"/>
        </w:numPr>
        <w:rPr>
          <w:rFonts w:ascii="Times New Roman" w:eastAsia="Times New Roman" w:hAnsi="Times New Roman" w:cs="Times New Roman" w:hint="eastAsia"/>
          <w:sz w:val="27"/>
          <w:szCs w:val="27"/>
          <w:highlight w:val="white"/>
        </w:rPr>
      </w:pPr>
      <w:r w:rsidRPr="00AD4362">
        <w:rPr>
          <w:rFonts w:ascii="Times New Roman" w:eastAsia="Times New Roman" w:hAnsi="Times New Roman" w:cs="Times New Roman"/>
          <w:sz w:val="27"/>
          <w:szCs w:val="27"/>
          <w:highlight w:val="white"/>
        </w:rPr>
        <w:t>Avg_</w:t>
      </w:r>
      <w:r>
        <w:rPr>
          <w:rFonts w:ascii="Times New Roman" w:eastAsia="Times New Roman" w:hAnsi="Times New Roman" w:cs="Times New Roman"/>
          <w:sz w:val="27"/>
          <w:szCs w:val="27"/>
          <w:highlight w:val="white"/>
        </w:rPr>
        <w:t>Month</w:t>
      </w:r>
      <w:r w:rsidRPr="00AD4362">
        <w:rPr>
          <w:rFonts w:ascii="Times New Roman" w:eastAsia="Times New Roman" w:hAnsi="Times New Roman" w:cs="Times New Roman"/>
          <w:sz w:val="27"/>
          <w:szCs w:val="27"/>
          <w:highlight w:val="white"/>
        </w:rPr>
        <w:t xml:space="preserve">ly_return is defined by comparing the </w:t>
      </w:r>
      <w:r>
        <w:rPr>
          <w:rFonts w:ascii="Times New Roman" w:eastAsia="Times New Roman" w:hAnsi="Times New Roman" w:cs="Times New Roman"/>
          <w:sz w:val="27"/>
          <w:szCs w:val="27"/>
          <w:highlight w:val="white"/>
        </w:rPr>
        <w:t>Clos</w:t>
      </w:r>
      <w:r w:rsidRPr="00AD4362">
        <w:rPr>
          <w:rFonts w:ascii="Times New Roman" w:eastAsia="Times New Roman" w:hAnsi="Times New Roman" w:cs="Times New Roman"/>
          <w:sz w:val="27"/>
          <w:szCs w:val="27"/>
          <w:highlight w:val="white"/>
        </w:rPr>
        <w:t xml:space="preserve">ing Price on the </w:t>
      </w:r>
      <w:r>
        <w:rPr>
          <w:rFonts w:ascii="Times New Roman" w:eastAsia="Times New Roman" w:hAnsi="Times New Roman" w:cs="Times New Roman"/>
          <w:sz w:val="27"/>
          <w:szCs w:val="27"/>
          <w:highlight w:val="white"/>
        </w:rPr>
        <w:t xml:space="preserve">of the last trading day of the </w:t>
      </w:r>
      <w:r>
        <w:rPr>
          <w:rFonts w:ascii="Times New Roman" w:eastAsia="Times New Roman" w:hAnsi="Times New Roman" w:cs="Times New Roman"/>
          <w:sz w:val="27"/>
          <w:szCs w:val="27"/>
          <w:highlight w:val="white"/>
        </w:rPr>
        <w:t>month</w:t>
      </w:r>
      <w:r w:rsidRPr="00AD4362">
        <w:rPr>
          <w:rFonts w:ascii="Times New Roman" w:eastAsia="Times New Roman" w:hAnsi="Times New Roman" w:cs="Times New Roman"/>
          <w:sz w:val="27"/>
          <w:szCs w:val="27"/>
          <w:highlight w:val="white"/>
        </w:rPr>
        <w:t xml:space="preserve"> with the Closing Price of the previous Friday, taking the average from 1967 to 2018.</w:t>
      </w:r>
    </w:p>
    <w:p w:rsidR="00AD4362" w:rsidRDefault="00AD4362" w:rsidP="00AD4362">
      <w:pPr>
        <w:pStyle w:val="ListParagraph"/>
        <w:numPr>
          <w:ilvl w:val="0"/>
          <w:numId w:val="5"/>
        </w:numPr>
        <w:rPr>
          <w:rFonts w:ascii="Times New Roman" w:eastAsia="Times New Roman" w:hAnsi="Times New Roman" w:cs="Times New Roman"/>
          <w:sz w:val="27"/>
          <w:szCs w:val="27"/>
          <w:highlight w:val="white"/>
        </w:rPr>
      </w:pPr>
      <w:r w:rsidRPr="00AD4362">
        <w:rPr>
          <w:rFonts w:ascii="Times New Roman" w:eastAsia="Times New Roman" w:hAnsi="Times New Roman" w:cs="Times New Roman"/>
          <w:sz w:val="27"/>
          <w:szCs w:val="27"/>
          <w:highlight w:val="white"/>
        </w:rPr>
        <w:t>Avg_</w:t>
      </w:r>
      <w:r>
        <w:rPr>
          <w:rFonts w:ascii="Times New Roman" w:eastAsia="Times New Roman" w:hAnsi="Times New Roman" w:cs="Times New Roman"/>
          <w:sz w:val="27"/>
          <w:szCs w:val="27"/>
          <w:highlight w:val="white"/>
        </w:rPr>
        <w:t>Year</w:t>
      </w:r>
      <w:r w:rsidRPr="00AD4362">
        <w:rPr>
          <w:rFonts w:ascii="Times New Roman" w:eastAsia="Times New Roman" w:hAnsi="Times New Roman" w:cs="Times New Roman"/>
          <w:sz w:val="27"/>
          <w:szCs w:val="27"/>
          <w:highlight w:val="white"/>
        </w:rPr>
        <w:t xml:space="preserve">ly_return is defined by comparing the </w:t>
      </w:r>
      <w:r>
        <w:rPr>
          <w:rFonts w:ascii="Times New Roman" w:eastAsia="Times New Roman" w:hAnsi="Times New Roman" w:cs="Times New Roman"/>
          <w:sz w:val="27"/>
          <w:szCs w:val="27"/>
          <w:highlight w:val="white"/>
        </w:rPr>
        <w:t>Clos</w:t>
      </w:r>
      <w:r w:rsidRPr="00AD4362">
        <w:rPr>
          <w:rFonts w:ascii="Times New Roman" w:eastAsia="Times New Roman" w:hAnsi="Times New Roman" w:cs="Times New Roman"/>
          <w:sz w:val="27"/>
          <w:szCs w:val="27"/>
          <w:highlight w:val="white"/>
        </w:rPr>
        <w:t xml:space="preserve">ing Price on the </w:t>
      </w:r>
      <w:r>
        <w:rPr>
          <w:rFonts w:ascii="Times New Roman" w:eastAsia="Times New Roman" w:hAnsi="Times New Roman" w:cs="Times New Roman"/>
          <w:sz w:val="27"/>
          <w:szCs w:val="27"/>
          <w:highlight w:val="white"/>
        </w:rPr>
        <w:t xml:space="preserve">of the last trading day of the </w:t>
      </w:r>
      <w:r>
        <w:rPr>
          <w:rFonts w:ascii="Times New Roman" w:eastAsia="Times New Roman" w:hAnsi="Times New Roman" w:cs="Times New Roman"/>
          <w:sz w:val="27"/>
          <w:szCs w:val="27"/>
          <w:highlight w:val="white"/>
        </w:rPr>
        <w:t>year</w:t>
      </w:r>
      <w:r w:rsidRPr="00AD4362">
        <w:rPr>
          <w:rFonts w:ascii="Times New Roman" w:eastAsia="Times New Roman" w:hAnsi="Times New Roman" w:cs="Times New Roman"/>
          <w:sz w:val="27"/>
          <w:szCs w:val="27"/>
          <w:highlight w:val="white"/>
        </w:rPr>
        <w:t xml:space="preserve"> with the Closing Price of the previous Friday, taking the average from 1967 to 2018.</w:t>
      </w:r>
    </w:p>
    <w:p w:rsidR="00E80E04" w:rsidRPr="00E80E04" w:rsidRDefault="00E80E04" w:rsidP="00E80E04">
      <w:pPr>
        <w:ind w:left="360"/>
        <w:rPr>
          <w:rFonts w:ascii="Times New Roman" w:eastAsia="Times New Roman" w:hAnsi="Times New Roman" w:cs="Times New Roman" w:hint="eastAsia"/>
          <w:sz w:val="27"/>
          <w:szCs w:val="27"/>
          <w:highlight w:val="white"/>
        </w:rPr>
      </w:pPr>
      <w:r>
        <w:rPr>
          <w:rFonts w:ascii="Times New Roman" w:eastAsia="Times New Roman" w:hAnsi="Times New Roman" w:cs="Times New Roman"/>
          <w:sz w:val="27"/>
          <w:szCs w:val="27"/>
          <w:highlight w:val="white"/>
        </w:rPr>
        <w:lastRenderedPageBreak/>
        <w:t xml:space="preserve">As we can see, the average return when an original team wins the Super Bowl if actually smaller when we investigate daily, weekly and monthly returns. </w:t>
      </w:r>
      <w:r w:rsidR="00232C97">
        <w:rPr>
          <w:rFonts w:ascii="Times New Roman" w:eastAsia="Times New Roman" w:hAnsi="Times New Roman" w:cs="Times New Roman"/>
          <w:sz w:val="27"/>
          <w:szCs w:val="27"/>
          <w:highlight w:val="white"/>
        </w:rPr>
        <w:t>It is only larger when we investigate yearly returns.</w:t>
      </w:r>
    </w:p>
    <w:p w:rsidR="00AD4362" w:rsidRPr="00AD4362" w:rsidRDefault="00AD4362" w:rsidP="00AD4362">
      <w:pPr>
        <w:pStyle w:val="ListParagraph"/>
        <w:rPr>
          <w:rFonts w:ascii="Times New Roman" w:eastAsia="Times New Roman" w:hAnsi="Times New Roman" w:cs="Times New Roman" w:hint="eastAsia"/>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By looking at the scatterplots of the log-returns of the selected index and ETSs, we detected no apparent patterns that violate randomness. In addition, we performed the runs test the determine non-randomness. The null hypothesis is that the log-returns in the data set are mutually independent, whereas the alternative hypothesis is that they are not and therefore the data isn’t consistent with a random sample.</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From the test results, we found that only S&amp;P 500 and PAGG had a p-value less than 0.05. </w:t>
      </w:r>
      <w:r w:rsidR="003F7421">
        <w:rPr>
          <w:rFonts w:ascii="Times New Roman" w:eastAsia="Times New Roman" w:hAnsi="Times New Roman" w:cs="Times New Roman"/>
          <w:sz w:val="27"/>
          <w:szCs w:val="27"/>
          <w:highlight w:val="white"/>
        </w:rPr>
        <w:t>Thus,</w:t>
      </w:r>
      <w:r>
        <w:rPr>
          <w:rFonts w:ascii="Times New Roman" w:eastAsia="Times New Roman" w:hAnsi="Times New Roman" w:cs="Times New Roman"/>
          <w:sz w:val="27"/>
          <w:szCs w:val="27"/>
          <w:highlight w:val="white"/>
        </w:rPr>
        <w:t xml:space="preserve"> we reject the null hypothesis for those two and fail to reject for all the other ETFs. In conclusion, only the log-returns of S&amp;P 500 and PAGG were not consistent with a random sample.</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We then examine the assumption that log-returns follow normal distributions. </w:t>
      </w:r>
      <w:r w:rsidR="003F7421">
        <w:rPr>
          <w:rFonts w:ascii="Times New Roman" w:eastAsia="Times New Roman" w:hAnsi="Times New Roman" w:cs="Times New Roman"/>
          <w:sz w:val="27"/>
          <w:szCs w:val="27"/>
          <w:highlight w:val="white"/>
        </w:rPr>
        <w:t>First,</w:t>
      </w:r>
      <w:r>
        <w:rPr>
          <w:rFonts w:ascii="Times New Roman" w:eastAsia="Times New Roman" w:hAnsi="Times New Roman" w:cs="Times New Roman"/>
          <w:sz w:val="27"/>
          <w:szCs w:val="27"/>
          <w:highlight w:val="white"/>
        </w:rPr>
        <w:t xml:space="preserve"> we draw histograms for the S&amp;P 500 and each individual ETF. The results are mixed. The histograms for IGN, PBJ, PBS, PEJ, XLP, XLY do present frequency distributions that seem approximately normal. However, for S&amp;P 500, BJK, SUD, and PAGG, the log-returns seem to have slightly left-skewed distributions.</w:t>
      </w:r>
    </w:p>
    <w:p w:rsidR="002E69C1" w:rsidRDefault="00E3253E">
      <w:pPr>
        <w:rPr>
          <w:rFonts w:ascii="Times New Roman" w:eastAsia="Times New Roman" w:hAnsi="Times New Roman" w:cs="Times New Roman"/>
          <w:sz w:val="27"/>
          <w:szCs w:val="27"/>
          <w:highlight w:val="white"/>
        </w:rPr>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257175</wp:posOffset>
            </wp:positionV>
            <wp:extent cx="2852423" cy="2347913"/>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52423" cy="2347913"/>
                    </a:xfrm>
                    <a:prstGeom prst="rect">
                      <a:avLst/>
                    </a:prstGeom>
                    <a:ln/>
                  </pic:spPr>
                </pic:pic>
              </a:graphicData>
            </a:graphic>
          </wp:anchor>
        </w:drawing>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noProof/>
          <w:sz w:val="27"/>
          <w:szCs w:val="27"/>
          <w:highlight w:val="white"/>
        </w:rPr>
        <w:drawing>
          <wp:inline distT="114300" distB="114300" distL="114300" distR="114300">
            <wp:extent cx="2876309" cy="23669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76309" cy="2366963"/>
                    </a:xfrm>
                    <a:prstGeom prst="rect">
                      <a:avLst/>
                    </a:prstGeom>
                    <a:ln/>
                  </pic:spPr>
                </pic:pic>
              </a:graphicData>
            </a:graphic>
          </wp:inline>
        </w:drawing>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In order to ascertain our guesses, we drew normal probability plots, which further confirmed our previous observations. The plots for IGN, PBJ, PBS, PEJ, XLP, XLY mostly follow straight lines. In contrast, those for S&amp;P 500, BJK, SUD, and PAGG, there are relatively large deviations from linearity. The normal probability plots for FUD and PAGG are shown below. </w:t>
      </w:r>
      <w:proofErr w:type="gramStart"/>
      <w:r>
        <w:rPr>
          <w:rFonts w:ascii="Times New Roman" w:eastAsia="Times New Roman" w:hAnsi="Times New Roman" w:cs="Times New Roman"/>
          <w:sz w:val="27"/>
          <w:szCs w:val="27"/>
          <w:highlight w:val="white"/>
        </w:rPr>
        <w:t>Therefore</w:t>
      </w:r>
      <w:proofErr w:type="gramEnd"/>
      <w:r>
        <w:rPr>
          <w:rFonts w:ascii="Times New Roman" w:eastAsia="Times New Roman" w:hAnsi="Times New Roman" w:cs="Times New Roman"/>
          <w:sz w:val="27"/>
          <w:szCs w:val="27"/>
          <w:highlight w:val="white"/>
        </w:rPr>
        <w:t xml:space="preserve"> we conclude that the log-returns for IGN, PBJ, PBS, PEJ, XLP, XLY follow came from a normal distribution, whereas those for S&amp;P 500, BJK, SUD, and PAGG do not.</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noProof/>
          <w:sz w:val="27"/>
          <w:szCs w:val="27"/>
          <w:highlight w:val="white"/>
        </w:rPr>
        <w:drawing>
          <wp:inline distT="114300" distB="114300" distL="114300" distR="114300">
            <wp:extent cx="2871788" cy="236274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71788" cy="2362742"/>
                    </a:xfrm>
                    <a:prstGeom prst="rect">
                      <a:avLst/>
                    </a:prstGeom>
                    <a:ln/>
                  </pic:spPr>
                </pic:pic>
              </a:graphicData>
            </a:graphic>
          </wp:inline>
        </w:drawing>
      </w:r>
      <w:r>
        <w:rPr>
          <w:rFonts w:ascii="Times New Roman" w:eastAsia="Times New Roman" w:hAnsi="Times New Roman" w:cs="Times New Roman"/>
          <w:noProof/>
          <w:sz w:val="27"/>
          <w:szCs w:val="27"/>
          <w:highlight w:val="white"/>
        </w:rPr>
        <w:drawing>
          <wp:inline distT="114300" distB="114300" distL="114300" distR="114300">
            <wp:extent cx="2890838" cy="236613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90838" cy="2366131"/>
                    </a:xfrm>
                    <a:prstGeom prst="rect">
                      <a:avLst/>
                    </a:prstGeom>
                    <a:ln/>
                  </pic:spPr>
                </pic:pic>
              </a:graphicData>
            </a:graphic>
          </wp:inline>
        </w:drawing>
      </w:r>
      <w:r>
        <w:rPr>
          <w:rFonts w:ascii="Times New Roman" w:eastAsia="Times New Roman" w:hAnsi="Times New Roman" w:cs="Times New Roman"/>
          <w:sz w:val="27"/>
          <w:szCs w:val="27"/>
          <w:highlight w:val="white"/>
        </w:rPr>
        <w:t xml:space="preserve">Now that we’ve examined the random sample and normality assumptions, we will continue to construct confidence intervals for log-returns’ mean, </w:t>
      </w:r>
      <w:r>
        <w:rPr>
          <w:rFonts w:ascii="Cambria Math" w:eastAsia="Times New Roman" w:hAnsi="Cambria Math" w:cs="Cambria Math"/>
          <w:sz w:val="27"/>
          <w:szCs w:val="27"/>
          <w:highlight w:val="white"/>
        </w:rPr>
        <w:t>𝜇</w:t>
      </w:r>
      <w:r>
        <w:rPr>
          <w:rFonts w:ascii="Times New Roman" w:eastAsia="Times New Roman" w:hAnsi="Times New Roman" w:cs="Times New Roman"/>
          <w:sz w:val="27"/>
          <w:szCs w:val="27"/>
          <w:highlight w:val="white"/>
        </w:rPr>
        <w:t xml:space="preserve">, and the variance, </w:t>
      </w:r>
      <w:r>
        <w:rPr>
          <w:rFonts w:ascii="Cambria Math" w:eastAsia="Times New Roman" w:hAnsi="Cambria Math" w:cs="Cambria Math"/>
          <w:sz w:val="27"/>
          <w:szCs w:val="27"/>
          <w:highlight w:val="white"/>
        </w:rPr>
        <w:t>𝜎</w:t>
      </w:r>
      <w:r>
        <w:rPr>
          <w:rFonts w:ascii="Times New Roman" w:eastAsia="Times New Roman" w:hAnsi="Times New Roman" w:cs="Times New Roman"/>
          <w:sz w:val="27"/>
          <w:szCs w:val="27"/>
          <w:highlight w:val="white"/>
        </w:rPr>
        <w:t>2. Since the population variances are unknown, we utilized t-distribution with n-1 = 2498 degrees of freedom and substituted in the standard deviations to derive the confidence intervals for the means. For the variances, we utilized chi-squared distribution with 2498 degrees of freedom.</w:t>
      </w:r>
    </w:p>
    <w:p w:rsidR="002E69C1" w:rsidRDefault="002E69C1">
      <w:pPr>
        <w:rPr>
          <w:rFonts w:ascii="Times New Roman" w:eastAsia="Times New Roman" w:hAnsi="Times New Roman" w:cs="Times New Roman"/>
          <w:sz w:val="27"/>
          <w:szCs w:val="27"/>
          <w:highlight w:val="white"/>
        </w:rPr>
      </w:pPr>
    </w:p>
    <w:p w:rsidR="002E69C1" w:rsidRDefault="00E3253E">
      <w:pPr>
        <w:jc w:val="cente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 xml:space="preserve">95% Confidence Interval for </w:t>
      </w:r>
      <w:r>
        <w:rPr>
          <w:rFonts w:ascii="Cambria Math" w:eastAsia="Times New Roman" w:hAnsi="Cambria Math" w:cs="Cambria Math"/>
          <w:b/>
          <w:color w:val="333333"/>
          <w:sz w:val="28"/>
          <w:szCs w:val="28"/>
          <w:highlight w:val="white"/>
        </w:rPr>
        <w:t>𝝁</w:t>
      </w:r>
      <w:r>
        <w:rPr>
          <w:rFonts w:ascii="Times New Roman" w:eastAsia="Times New Roman" w:hAnsi="Times New Roman" w:cs="Times New Roman"/>
          <w:b/>
          <w:color w:val="333333"/>
          <w:sz w:val="28"/>
          <w:szCs w:val="28"/>
          <w:highlight w:val="white"/>
        </w:rPr>
        <w:t xml:space="preserve"> and </w:t>
      </w:r>
      <w:r>
        <w:rPr>
          <w:rFonts w:ascii="Cambria Math" w:eastAsia="Times New Roman" w:hAnsi="Cambria Math" w:cs="Cambria Math"/>
          <w:b/>
          <w:color w:val="333333"/>
          <w:sz w:val="28"/>
          <w:szCs w:val="28"/>
          <w:highlight w:val="white"/>
        </w:rPr>
        <w:t>𝝈𝟐</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3540"/>
        <w:gridCol w:w="3825"/>
      </w:tblGrid>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Ticker Symbol</w:t>
            </w:r>
          </w:p>
        </w:tc>
        <w:tc>
          <w:tcPr>
            <w:tcW w:w="3540"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Confidence Interval for </w:t>
            </w:r>
            <w:r>
              <w:rPr>
                <w:rFonts w:ascii="Cambria Math" w:eastAsia="Times New Roman" w:hAnsi="Cambria Math" w:cs="Cambria Math"/>
                <w:b/>
                <w:color w:val="333333"/>
                <w:sz w:val="24"/>
                <w:szCs w:val="24"/>
                <w:highlight w:val="white"/>
              </w:rPr>
              <w:t>𝝁</w:t>
            </w:r>
          </w:p>
        </w:tc>
        <w:tc>
          <w:tcPr>
            <w:tcW w:w="382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Confidence Interval for </w:t>
            </w:r>
            <w:r>
              <w:rPr>
                <w:rFonts w:ascii="Cambria Math" w:eastAsia="Times New Roman" w:hAnsi="Cambria Math" w:cs="Cambria Math"/>
                <w:b/>
                <w:color w:val="333333"/>
                <w:sz w:val="24"/>
                <w:szCs w:val="24"/>
                <w:highlight w:val="white"/>
              </w:rPr>
              <w:t>𝝈𝟐</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S&amp;P 500</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(-3.5e-05, 7.3e-04)</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(8.95e-05, 1.00e-04)</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lastRenderedPageBreak/>
              <w:t>BJK</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(-0.0011, -0.0001)</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(0.00015, 0.00017)</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FUD</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(-0.0010, -0.0001)</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(0.00011, 0.00012)</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PAGG</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(-5.2e-04, 7.12e-05)</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(0.00011, 0.00012)</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PBJ</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(-5.2e-04, 9.0e-05)</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(5.78e-05, 6.46e-05)</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PBS</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(-0.0005, 0.0003)</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(0.00011, 0.00012)</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PEJ</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(-0.0003, 0.0005)</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(0.00012, 0.00013)</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XLP</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(8.1e-05, 6.0e-04)</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(4.07e-05, 4.55e-05)</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XLY</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(-0.0001, 0.0006) </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(1.07e-04, 1.20e-04)</w:t>
            </w:r>
          </w:p>
        </w:tc>
      </w:tr>
      <w:tr w:rsidR="002E69C1">
        <w:tc>
          <w:tcPr>
            <w:tcW w:w="1995"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IGN</w:t>
            </w:r>
          </w:p>
        </w:tc>
        <w:tc>
          <w:tcPr>
            <w:tcW w:w="354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(-0.0003, 0.0006)</w:t>
            </w:r>
          </w:p>
        </w:tc>
        <w:tc>
          <w:tcPr>
            <w:tcW w:w="3825"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(0.00013, 0.00014)</w:t>
            </w:r>
          </w:p>
        </w:tc>
      </w:tr>
    </w:tbl>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In terms of the means, we see that the confidence intervals were small and most of them were centered around zero with the exception of BJK and FUD, whose upper bounds were below zero. This might imply that these two ETFs are not great choices for long-term investments, because if we drew enough </w:t>
      </w:r>
      <w:proofErr w:type="gramStart"/>
      <w:r>
        <w:rPr>
          <w:rFonts w:ascii="Times New Roman" w:eastAsia="Times New Roman" w:hAnsi="Times New Roman" w:cs="Times New Roman"/>
          <w:sz w:val="27"/>
          <w:szCs w:val="27"/>
          <w:highlight w:val="white"/>
        </w:rPr>
        <w:t>amount</w:t>
      </w:r>
      <w:proofErr w:type="gramEnd"/>
      <w:r>
        <w:rPr>
          <w:rFonts w:ascii="Times New Roman" w:eastAsia="Times New Roman" w:hAnsi="Times New Roman" w:cs="Times New Roman"/>
          <w:sz w:val="27"/>
          <w:szCs w:val="27"/>
          <w:highlight w:val="white"/>
        </w:rPr>
        <w:t xml:space="preserve"> of large samples of BJK or FUD log-returns, we would get a mean return below zero 95% of the time.</w:t>
      </w: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On the other hand, XLY appears to be a relatively better investment with a position mean log-return. In fact, if we did a 90% confidence interval for XLY, the whole interval would be entirely positive. The confidence intervals for the variances were even smaller. This make intuitive sense because the S&amp;P 500 and ETFs were intrinsically less varied than individual stocks.</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By converting log-returns and dates into time-series type, we then performed time series regressions of log-returns against time. With no exception, the R^2 values were close to 0 suggesting poor fit for the data with linear regressions. Even though we might not be able to use linear regressions to predict future log-returns for potential investors, several coefficient estimates appear to be positive and highly significant with high t-value. The regression results for BJK, FUD, and PAGG are shown below: </w:t>
      </w:r>
    </w:p>
    <w:p w:rsidR="002E69C1" w:rsidRDefault="002E69C1">
      <w:pPr>
        <w:rPr>
          <w:rFonts w:ascii="Times New Roman" w:eastAsia="Times New Roman" w:hAnsi="Times New Roman" w:cs="Times New Roman"/>
          <w:sz w:val="27"/>
          <w:szCs w:val="27"/>
          <w:highlight w:val="whit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2E69C1">
            <w:pPr>
              <w:rPr>
                <w:rFonts w:ascii="Times New Roman" w:eastAsia="Times New Roman" w:hAnsi="Times New Roman" w:cs="Times New Roman"/>
                <w:sz w:val="27"/>
                <w:szCs w:val="27"/>
                <w:highlight w:val="white"/>
              </w:rPr>
            </w:pP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Pr</w:t>
            </w:r>
            <w:proofErr w:type="spellEnd"/>
            <w:r>
              <w:rPr>
                <w:rFonts w:ascii="Times New Roman" w:eastAsia="Times New Roman" w:hAnsi="Times New Roman" w:cs="Times New Roman"/>
                <w:sz w:val="27"/>
                <w:szCs w:val="27"/>
                <w:highlight w:val="white"/>
              </w:rPr>
              <w:t xml:space="preserve">(&gt;|t|)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-2.629e-03</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4.747e-04</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-5.540 </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3.35e-08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tstime_PAGG</w:t>
            </w:r>
            <w:proofErr w:type="spellEnd"/>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1.786e-06</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3.289e-07 </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5.431</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6.13e-08 ***</w:t>
            </w:r>
          </w:p>
        </w:tc>
      </w:tr>
    </w:tbl>
    <w:p w:rsidR="002E69C1" w:rsidRDefault="002E69C1">
      <w:pPr>
        <w:rPr>
          <w:rFonts w:ascii="Times New Roman" w:eastAsia="Times New Roman" w:hAnsi="Times New Roman" w:cs="Times New Roman"/>
          <w:sz w:val="27"/>
          <w:szCs w:val="27"/>
          <w:highlight w:val="whit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2E69C1">
            <w:pPr>
              <w:rPr>
                <w:rFonts w:ascii="Times New Roman" w:eastAsia="Times New Roman" w:hAnsi="Times New Roman" w:cs="Times New Roman"/>
                <w:sz w:val="27"/>
                <w:szCs w:val="27"/>
                <w:highlight w:val="white"/>
              </w:rPr>
            </w:pP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Pr</w:t>
            </w:r>
            <w:proofErr w:type="spellEnd"/>
            <w:r>
              <w:rPr>
                <w:rFonts w:ascii="Times New Roman" w:eastAsia="Times New Roman" w:hAnsi="Times New Roman" w:cs="Times New Roman"/>
                <w:sz w:val="27"/>
                <w:szCs w:val="27"/>
                <w:highlight w:val="white"/>
              </w:rPr>
              <w:t xml:space="preserve">(&gt;|t|)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-1.800e-03</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4.254e-04</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-4.231 </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2.42e-05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tstime_FUD</w:t>
            </w:r>
            <w:proofErr w:type="spellEnd"/>
            <w:r>
              <w:rPr>
                <w:rFonts w:ascii="Times New Roman" w:eastAsia="Times New Roman" w:hAnsi="Times New Roman" w:cs="Times New Roman"/>
                <w:sz w:val="27"/>
                <w:szCs w:val="27"/>
                <w:highlight w:val="white"/>
              </w:rPr>
              <w:t xml:space="preserve"> </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9.884e-07</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2.947e-07</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3.353</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0.00081 ***</w:t>
            </w:r>
          </w:p>
        </w:tc>
      </w:tr>
    </w:tbl>
    <w:p w:rsidR="002E69C1" w:rsidRDefault="002E69C1">
      <w:pPr>
        <w:rPr>
          <w:rFonts w:ascii="Times New Roman" w:eastAsia="Times New Roman" w:hAnsi="Times New Roman" w:cs="Times New Roman"/>
          <w:sz w:val="27"/>
          <w:szCs w:val="27"/>
          <w:highlight w:val="whit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2E69C1">
            <w:pPr>
              <w:rPr>
                <w:rFonts w:ascii="Times New Roman" w:eastAsia="Times New Roman" w:hAnsi="Times New Roman" w:cs="Times New Roman"/>
                <w:sz w:val="27"/>
                <w:szCs w:val="27"/>
                <w:highlight w:val="white"/>
              </w:rPr>
            </w:pP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Pr</w:t>
            </w:r>
            <w:proofErr w:type="spellEnd"/>
            <w:r>
              <w:rPr>
                <w:rFonts w:ascii="Times New Roman" w:eastAsia="Times New Roman" w:hAnsi="Times New Roman" w:cs="Times New Roman"/>
                <w:sz w:val="27"/>
                <w:szCs w:val="27"/>
                <w:highlight w:val="white"/>
              </w:rPr>
              <w:t xml:space="preserve">(&gt;|t|)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-2.170e-03</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5.057e-04</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 -4.291 </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1.85e-05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lastRenderedPageBreak/>
              <w:t>tstime_BJK</w:t>
            </w:r>
            <w:proofErr w:type="spellEnd"/>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1.238e-06</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3.504e-07</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3.533</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0.000419 ***</w:t>
            </w:r>
          </w:p>
        </w:tc>
      </w:tr>
    </w:tbl>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Take BJK as an example, the coefficient </w:t>
      </w:r>
      <w:proofErr w:type="gramStart"/>
      <w:r>
        <w:rPr>
          <w:rFonts w:ascii="Times New Roman" w:eastAsia="Times New Roman" w:hAnsi="Times New Roman" w:cs="Times New Roman"/>
          <w:sz w:val="27"/>
          <w:szCs w:val="27"/>
          <w:highlight w:val="white"/>
        </w:rPr>
        <w:t>estimate</w:t>
      </w:r>
      <w:proofErr w:type="gramEnd"/>
      <w:r>
        <w:rPr>
          <w:rFonts w:ascii="Times New Roman" w:eastAsia="Times New Roman" w:hAnsi="Times New Roman" w:cs="Times New Roman"/>
          <w:sz w:val="27"/>
          <w:szCs w:val="27"/>
          <w:highlight w:val="white"/>
        </w:rPr>
        <w:t xml:space="preserve"> of 1.238e-06 that one extra trading day is linked to a 1.238e-06 increase in the value of daily log-return on average. In other words, there is a trivial but upward trend for the three ETFs listed above.</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Testing Equality of Conditional Means</w:t>
      </w:r>
    </w:p>
    <w:p w:rsidR="002E69C1" w:rsidRDefault="002E69C1">
      <w:pPr>
        <w:rPr>
          <w:rFonts w:ascii="Times New Roman" w:eastAsia="Times New Roman" w:hAnsi="Times New Roman" w:cs="Times New Roman"/>
          <w:b/>
          <w:color w:val="333333"/>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Firstly, to distinguish years in which the original NFL teams win the Super Bowl from the others, we define the year dummy variable as in the below table:</w:t>
      </w:r>
    </w:p>
    <w:p w:rsidR="002E69C1" w:rsidRDefault="002E69C1">
      <w:pPr>
        <w:rPr>
          <w:rFonts w:ascii="Times New Roman" w:eastAsia="Times New Roman" w:hAnsi="Times New Roman" w:cs="Times New Roman"/>
          <w:sz w:val="27"/>
          <w:szCs w:val="27"/>
          <w:highlight w:val="white"/>
        </w:rPr>
      </w:pPr>
    </w:p>
    <w:tbl>
      <w:tblPr>
        <w:tblStyle w:val="a3"/>
        <w:tblW w:w="5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170"/>
      </w:tblGrid>
      <w:tr w:rsidR="002E69C1">
        <w:tc>
          <w:tcPr>
            <w:tcW w:w="1350"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Year = 1</w:t>
            </w:r>
          </w:p>
        </w:tc>
        <w:tc>
          <w:tcPr>
            <w:tcW w:w="417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2009, 2011, 2012, 2018</w:t>
            </w:r>
          </w:p>
        </w:tc>
      </w:tr>
      <w:tr w:rsidR="002E69C1">
        <w:tc>
          <w:tcPr>
            <w:tcW w:w="1350" w:type="dxa"/>
            <w:shd w:val="clear" w:color="auto" w:fill="auto"/>
            <w:tcMar>
              <w:top w:w="100" w:type="dxa"/>
              <w:left w:w="100" w:type="dxa"/>
              <w:bottom w:w="100" w:type="dxa"/>
              <w:right w:w="100" w:type="dxa"/>
            </w:tcMar>
          </w:tcPr>
          <w:p w:rsidR="002E69C1" w:rsidRDefault="00E3253E">
            <w:pPr>
              <w:widowControl w:val="0"/>
              <w:spacing w:line="240" w:lineRule="auto"/>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Year = 0</w:t>
            </w:r>
          </w:p>
        </w:tc>
        <w:tc>
          <w:tcPr>
            <w:tcW w:w="4170"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2010, 2013, 2014, 2015, 2016, 2017</w:t>
            </w:r>
          </w:p>
        </w:tc>
      </w:tr>
    </w:tbl>
    <w:p w:rsidR="002E69C1" w:rsidRDefault="002E69C1">
      <w:pPr>
        <w:rPr>
          <w:rFonts w:ascii="Times New Roman" w:eastAsia="Times New Roman" w:hAnsi="Times New Roman" w:cs="Times New Roman"/>
          <w:b/>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Then for the S&amp;P 500 and each individual ETF, we computed the means of log-returns conditional on Year = 1 or Year = 0. We assume that the two newly generated samples were still consistent with a random sample and came from normal a normal distribution. Then we can start testing if the two conditional means are equal. Specifically, we want to see whether the mean for Year = 1 is greater than that for Year = 0, so it </w:t>
      </w:r>
      <w:proofErr w:type="gramStart"/>
      <w:r>
        <w:rPr>
          <w:rFonts w:ascii="Times New Roman" w:eastAsia="Times New Roman" w:hAnsi="Times New Roman" w:cs="Times New Roman"/>
          <w:sz w:val="27"/>
          <w:szCs w:val="27"/>
          <w:highlight w:val="white"/>
        </w:rPr>
        <w:t>seem</w:t>
      </w:r>
      <w:proofErr w:type="gramEnd"/>
      <w:r>
        <w:rPr>
          <w:rFonts w:ascii="Times New Roman" w:eastAsia="Times New Roman" w:hAnsi="Times New Roman" w:cs="Times New Roman"/>
          <w:sz w:val="27"/>
          <w:szCs w:val="27"/>
          <w:highlight w:val="white"/>
        </w:rPr>
        <w:t xml:space="preserve"> reasonable to use the following test:</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H0: </w:t>
      </w:r>
      <w:r>
        <w:rPr>
          <w:rFonts w:ascii="Cambria Math" w:eastAsia="Times New Roman" w:hAnsi="Cambria Math" w:cs="Cambria Math"/>
          <w:sz w:val="28"/>
          <w:szCs w:val="28"/>
          <w:highlight w:val="white"/>
        </w:rPr>
        <w:t>𝝁</w:t>
      </w:r>
      <w:r>
        <w:rPr>
          <w:rFonts w:ascii="Times New Roman" w:eastAsia="Times New Roman" w:hAnsi="Times New Roman" w:cs="Times New Roman"/>
          <w:sz w:val="28"/>
          <w:szCs w:val="28"/>
          <w:highlight w:val="white"/>
        </w:rPr>
        <w:t xml:space="preserve">1 &gt; </w:t>
      </w:r>
      <w:r>
        <w:rPr>
          <w:rFonts w:ascii="Cambria Math" w:eastAsia="Times New Roman" w:hAnsi="Cambria Math" w:cs="Cambria Math"/>
          <w:sz w:val="28"/>
          <w:szCs w:val="28"/>
          <w:highlight w:val="white"/>
        </w:rPr>
        <w:t>𝝁</w:t>
      </w:r>
      <w:r>
        <w:rPr>
          <w:rFonts w:ascii="Times New Roman" w:eastAsia="Times New Roman" w:hAnsi="Times New Roman" w:cs="Times New Roman"/>
          <w:sz w:val="28"/>
          <w:szCs w:val="28"/>
          <w:highlight w:val="white"/>
        </w:rPr>
        <w:t xml:space="preserve">0       versus       H1: </w:t>
      </w:r>
      <w:r>
        <w:rPr>
          <w:rFonts w:ascii="Cambria Math" w:eastAsia="Times New Roman" w:hAnsi="Cambria Math" w:cs="Cambria Math"/>
          <w:sz w:val="28"/>
          <w:szCs w:val="28"/>
          <w:highlight w:val="white"/>
        </w:rPr>
        <w:t>𝝁</w:t>
      </w:r>
      <w:r>
        <w:rPr>
          <w:rFonts w:ascii="Times New Roman" w:eastAsia="Times New Roman" w:hAnsi="Times New Roman" w:cs="Times New Roman"/>
          <w:sz w:val="28"/>
          <w:szCs w:val="28"/>
          <w:highlight w:val="white"/>
        </w:rPr>
        <w:t xml:space="preserve">1 &lt;= </w:t>
      </w:r>
      <w:r>
        <w:rPr>
          <w:rFonts w:ascii="Cambria Math" w:eastAsia="Times New Roman" w:hAnsi="Cambria Math" w:cs="Cambria Math"/>
          <w:sz w:val="28"/>
          <w:szCs w:val="28"/>
          <w:highlight w:val="white"/>
        </w:rPr>
        <w:t>𝝁</w:t>
      </w:r>
      <w:r>
        <w:rPr>
          <w:rFonts w:ascii="Times New Roman" w:eastAsia="Times New Roman" w:hAnsi="Times New Roman" w:cs="Times New Roman"/>
          <w:sz w:val="28"/>
          <w:szCs w:val="28"/>
          <w:highlight w:val="white"/>
        </w:rPr>
        <w:t>0</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lastRenderedPageBreak/>
        <w:t>If we assume that the unknown variances for Year = 1 and Year = 0 are equal (there is no reason to assume otherwise), we can use the pooled estimator of the common variance and a t-distribution with n+m-2 = 2497 degrees of freedom to test the null hypothesis. If we suppose the conditional variances are not only unknown but also not necessarily equal, then we can utilize the Welch two sample t-test considering that the sample size for both populations are large.</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The results were as expected mixed. We were able to reject the null hypothesis for PAGG and BJK with extremely low p-values and conclude that log-returns for these two ETFs were not higher in the years in which an original NFL team wins the Super Bowl. We were not able to reject the null hypothesis for any of the other ETFs at a significance level lower than 10%. Notice, however, not being able to reject the null hypothesis does not necessarily lead to the conclusion that </w:t>
      </w:r>
      <w:r>
        <w:rPr>
          <w:rFonts w:ascii="Cambria Math" w:eastAsia="Times New Roman" w:hAnsi="Cambria Math" w:cs="Cambria Math"/>
          <w:sz w:val="28"/>
          <w:szCs w:val="28"/>
          <w:highlight w:val="white"/>
        </w:rPr>
        <w:t>𝝁</w:t>
      </w:r>
      <w:r>
        <w:rPr>
          <w:rFonts w:ascii="Times New Roman" w:eastAsia="Times New Roman" w:hAnsi="Times New Roman" w:cs="Times New Roman"/>
          <w:sz w:val="28"/>
          <w:szCs w:val="28"/>
          <w:highlight w:val="white"/>
        </w:rPr>
        <w:t xml:space="preserve">1 &gt; </w:t>
      </w:r>
      <w:r>
        <w:rPr>
          <w:rFonts w:ascii="Cambria Math" w:eastAsia="Times New Roman" w:hAnsi="Cambria Math" w:cs="Cambria Math"/>
          <w:sz w:val="28"/>
          <w:szCs w:val="28"/>
          <w:highlight w:val="white"/>
        </w:rPr>
        <w:t>𝝁</w:t>
      </w:r>
      <w:r>
        <w:rPr>
          <w:rFonts w:ascii="Times New Roman" w:eastAsia="Times New Roman" w:hAnsi="Times New Roman" w:cs="Times New Roman"/>
          <w:sz w:val="28"/>
          <w:szCs w:val="28"/>
          <w:highlight w:val="white"/>
        </w:rPr>
        <w:t>0.</w:t>
      </w:r>
    </w:p>
    <w:p w:rsidR="002E69C1" w:rsidRDefault="002E69C1">
      <w:pPr>
        <w:rPr>
          <w:rFonts w:ascii="Times New Roman" w:eastAsia="Times New Roman" w:hAnsi="Times New Roman" w:cs="Times New Roman"/>
          <w:b/>
          <w:color w:val="333333"/>
          <w:sz w:val="27"/>
          <w:szCs w:val="27"/>
          <w:highlight w:val="white"/>
        </w:rPr>
      </w:pPr>
    </w:p>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Regression on Dummy Variable</w:t>
      </w:r>
    </w:p>
    <w:p w:rsidR="002E69C1" w:rsidRDefault="002E69C1">
      <w:pPr>
        <w:rPr>
          <w:rFonts w:ascii="Times New Roman" w:eastAsia="Times New Roman" w:hAnsi="Times New Roman" w:cs="Times New Roman"/>
          <w:b/>
          <w:color w:val="333333"/>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Another way to see if whether an original NFL team winning the Super Bowl has any effect on the log-returns is to use a linear regression on the dummy variable. We employed the following regression specification:</w:t>
      </w:r>
    </w:p>
    <w:p w:rsidR="002E69C1" w:rsidRDefault="002E69C1">
      <w:pPr>
        <w:rPr>
          <w:rFonts w:ascii="Times New Roman" w:eastAsia="Times New Roman" w:hAnsi="Times New Roman" w:cs="Times New Roman"/>
          <w:sz w:val="27"/>
          <w:szCs w:val="27"/>
          <w:highlight w:val="white"/>
        </w:rPr>
      </w:pPr>
    </w:p>
    <w:p w:rsidR="002E69C1" w:rsidRDefault="00E3253E">
      <w:pPr>
        <w:jc w:val="cente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log-return = a*Year + e</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b/>
          <w:color w:val="333333"/>
          <w:sz w:val="27"/>
          <w:szCs w:val="27"/>
          <w:highlight w:val="white"/>
        </w:rPr>
      </w:pPr>
      <w:proofErr w:type="spellStart"/>
      <w:r>
        <w:rPr>
          <w:rFonts w:ascii="Times New Roman" w:eastAsia="Times New Roman" w:hAnsi="Times New Roman" w:cs="Times New Roman"/>
          <w:sz w:val="27"/>
          <w:szCs w:val="27"/>
          <w:highlight w:val="white"/>
        </w:rPr>
        <w:t>whereYear</w:t>
      </w:r>
      <w:proofErr w:type="spellEnd"/>
      <w:r>
        <w:rPr>
          <w:rFonts w:ascii="Times New Roman" w:eastAsia="Times New Roman" w:hAnsi="Times New Roman" w:cs="Times New Roman"/>
          <w:sz w:val="27"/>
          <w:szCs w:val="27"/>
          <w:highlight w:val="white"/>
        </w:rPr>
        <w:t xml:space="preserve"> corresponds to the dummy variable defined in the previous section, and e is the residual. </w:t>
      </w:r>
    </w:p>
    <w:p w:rsidR="002E69C1" w:rsidRDefault="002E69C1">
      <w:pPr>
        <w:rPr>
          <w:rFonts w:ascii="Times New Roman" w:eastAsia="Times New Roman" w:hAnsi="Times New Roman" w:cs="Times New Roman"/>
          <w:b/>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After running the regression for the S&amp;P 500 and ETF log-returns, we found that, surprisingly, all of the coefficient estimates for the dummy variable with the exception of PEJ were negative. Only the estimates for BJK and PAGG were significant with t-values of -2.886 and -3.943, respectively, and both were negative.</w:t>
      </w:r>
    </w:p>
    <w:p w:rsidR="002E69C1" w:rsidRDefault="002E69C1">
      <w:pPr>
        <w:rPr>
          <w:rFonts w:ascii="Times New Roman" w:eastAsia="Times New Roman" w:hAnsi="Times New Roman" w:cs="Times New Roman"/>
          <w:sz w:val="27"/>
          <w:szCs w:val="27"/>
          <w:highlight w:val="white"/>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lastRenderedPageBreak/>
              <w:t>BJK</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Pr</w:t>
            </w:r>
            <w:proofErr w:type="spellEnd"/>
            <w:r>
              <w:rPr>
                <w:rFonts w:ascii="Times New Roman" w:eastAsia="Times New Roman" w:hAnsi="Times New Roman" w:cs="Times New Roman"/>
                <w:sz w:val="27"/>
                <w:szCs w:val="27"/>
                <w:highlight w:val="white"/>
              </w:rPr>
              <w:t xml:space="preserve">(&gt;|t|)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-3.233e-05</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3.253e-04</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-0.099 </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0.92086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color w:val="333333"/>
                <w:sz w:val="27"/>
                <w:szCs w:val="27"/>
                <w:highlight w:val="white"/>
              </w:rPr>
              <w:t>dummy_year</w:t>
            </w:r>
            <w:proofErr w:type="spellEnd"/>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-1.493e-03</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5.174e-04</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-2.886</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0.00394 **</w:t>
            </w:r>
          </w:p>
        </w:tc>
      </w:tr>
    </w:tbl>
    <w:p w:rsidR="002E69C1" w:rsidRDefault="002E69C1">
      <w:pPr>
        <w:rPr>
          <w:rFonts w:ascii="Times New Roman" w:eastAsia="Times New Roman" w:hAnsi="Times New Roman" w:cs="Times New Roman"/>
          <w:b/>
          <w:color w:val="333333"/>
          <w:sz w:val="27"/>
          <w:szCs w:val="27"/>
          <w:highlight w:val="white"/>
        </w:rPr>
      </w:pPr>
    </w:p>
    <w:p w:rsidR="002E69C1" w:rsidRDefault="002E69C1">
      <w:pPr>
        <w:rPr>
          <w:rFonts w:ascii="Times New Roman" w:eastAsia="Times New Roman" w:hAnsi="Times New Roman" w:cs="Times New Roman"/>
          <w:sz w:val="27"/>
          <w:szCs w:val="27"/>
          <w:highlight w:val="white"/>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PAGG</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Estimate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Std. Error</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 value</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Pr</w:t>
            </w:r>
            <w:proofErr w:type="spellEnd"/>
            <w:r>
              <w:rPr>
                <w:rFonts w:ascii="Times New Roman" w:eastAsia="Times New Roman" w:hAnsi="Times New Roman" w:cs="Times New Roman"/>
                <w:sz w:val="27"/>
                <w:szCs w:val="27"/>
                <w:highlight w:val="white"/>
              </w:rPr>
              <w:t xml:space="preserve">(&gt;|t|)  </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(Intercept)</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0.0003620</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0.0003060</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 1.183</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0.237</w:t>
            </w:r>
          </w:p>
        </w:tc>
      </w:tr>
      <w:tr w:rsidR="002E69C1">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proofErr w:type="spellStart"/>
            <w:r>
              <w:rPr>
                <w:rFonts w:ascii="Times New Roman" w:eastAsia="Times New Roman" w:hAnsi="Times New Roman" w:cs="Times New Roman"/>
                <w:sz w:val="27"/>
                <w:szCs w:val="27"/>
                <w:highlight w:val="white"/>
              </w:rPr>
              <w:t>tstime_BJK</w:t>
            </w:r>
            <w:proofErr w:type="spellEnd"/>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-0.0019185</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0.0004866</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-3.943</w:t>
            </w:r>
          </w:p>
        </w:tc>
        <w:tc>
          <w:tcPr>
            <w:tcW w:w="1872" w:type="dxa"/>
            <w:shd w:val="clear" w:color="auto" w:fill="auto"/>
            <w:tcMar>
              <w:top w:w="100" w:type="dxa"/>
              <w:left w:w="100" w:type="dxa"/>
              <w:bottom w:w="100" w:type="dxa"/>
              <w:right w:w="100" w:type="dxa"/>
            </w:tcMar>
          </w:tcPr>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8.28e-05 ***</w:t>
            </w:r>
          </w:p>
        </w:tc>
      </w:tr>
    </w:tbl>
    <w:p w:rsidR="002E69C1" w:rsidRDefault="002E69C1">
      <w:pPr>
        <w:rPr>
          <w:rFonts w:ascii="Times New Roman" w:eastAsia="Times New Roman" w:hAnsi="Times New Roman" w:cs="Times New Roman"/>
          <w:b/>
          <w:color w:val="333333"/>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Take the PAGG regression results above as an example. The coefficient </w:t>
      </w:r>
      <w:proofErr w:type="gramStart"/>
      <w:r>
        <w:rPr>
          <w:rFonts w:ascii="Times New Roman" w:eastAsia="Times New Roman" w:hAnsi="Times New Roman" w:cs="Times New Roman"/>
          <w:sz w:val="27"/>
          <w:szCs w:val="27"/>
          <w:highlight w:val="white"/>
        </w:rPr>
        <w:t>estimate</w:t>
      </w:r>
      <w:proofErr w:type="gramEnd"/>
      <w:r>
        <w:rPr>
          <w:rFonts w:ascii="Times New Roman" w:eastAsia="Times New Roman" w:hAnsi="Times New Roman" w:cs="Times New Roman"/>
          <w:sz w:val="27"/>
          <w:szCs w:val="27"/>
          <w:highlight w:val="white"/>
        </w:rPr>
        <w:t xml:space="preserve"> of -0.0019185 implies that, on average, log-returns of PAGG is 0.0019185 lower in years in which an original NFL team wins the Super Bowl than in the other years, and it is significant at 0.01% level! Note that the results for this two</w:t>
      </w:r>
    </w:p>
    <w:p w:rsidR="002E69C1" w:rsidRDefault="002E69C1">
      <w:pPr>
        <w:rPr>
          <w:rFonts w:ascii="Times New Roman" w:eastAsia="Times New Roman" w:hAnsi="Times New Roman" w:cs="Times New Roman"/>
          <w:b/>
          <w:color w:val="333333"/>
          <w:sz w:val="27"/>
          <w:szCs w:val="27"/>
          <w:highlight w:val="white"/>
        </w:rPr>
      </w:pPr>
    </w:p>
    <w:p w:rsidR="002E69C1" w:rsidRDefault="00E3253E">
      <w:pPr>
        <w:rPr>
          <w:rFonts w:ascii="Times New Roman" w:eastAsia="Times New Roman" w:hAnsi="Times New Roman" w:cs="Times New Roman"/>
          <w:b/>
          <w:color w:val="333333"/>
          <w:sz w:val="30"/>
          <w:szCs w:val="30"/>
          <w:highlight w:val="white"/>
        </w:rPr>
      </w:pPr>
      <w:r>
        <w:rPr>
          <w:rFonts w:ascii="Times New Roman" w:eastAsia="Times New Roman" w:hAnsi="Times New Roman" w:cs="Times New Roman"/>
          <w:b/>
          <w:color w:val="333333"/>
          <w:sz w:val="30"/>
          <w:szCs w:val="30"/>
          <w:highlight w:val="white"/>
        </w:rPr>
        <w:t>Conclusion</w:t>
      </w:r>
    </w:p>
    <w:p w:rsidR="002E69C1" w:rsidRDefault="002E69C1">
      <w:pPr>
        <w:rPr>
          <w:rFonts w:ascii="Times New Roman" w:eastAsia="Times New Roman" w:hAnsi="Times New Roman" w:cs="Times New Roman"/>
          <w:b/>
          <w:color w:val="333333"/>
          <w:sz w:val="30"/>
          <w:szCs w:val="30"/>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From our runs test and normal probability plots, we first conclude that 8 out of 10 log-return samples were consistent with a random sample, but only 6 of them seem to come from a normal distribution. We continued with our analysis nevertheless.</w:t>
      </w:r>
    </w:p>
    <w:p w:rsidR="002E69C1" w:rsidRDefault="002E69C1">
      <w:pPr>
        <w:rPr>
          <w:rFonts w:ascii="Times New Roman" w:eastAsia="Times New Roman" w:hAnsi="Times New Roman" w:cs="Times New Roman"/>
          <w:color w:val="333333"/>
          <w:sz w:val="30"/>
          <w:szCs w:val="30"/>
          <w:highlight w:val="white"/>
        </w:rPr>
      </w:pPr>
    </w:p>
    <w:p w:rsidR="002E69C1" w:rsidRDefault="00E3253E">
      <w:pPr>
        <w:rPr>
          <w:rFonts w:ascii="Times New Roman" w:eastAsia="Times New Roman" w:hAnsi="Times New Roman" w:cs="Times New Roman"/>
          <w:b/>
          <w:color w:val="333333"/>
          <w:sz w:val="30"/>
          <w:szCs w:val="30"/>
          <w:highlight w:val="white"/>
        </w:rPr>
      </w:pPr>
      <w:r>
        <w:rPr>
          <w:rFonts w:ascii="Times New Roman" w:eastAsia="Times New Roman" w:hAnsi="Times New Roman" w:cs="Times New Roman"/>
          <w:sz w:val="27"/>
          <w:szCs w:val="27"/>
          <w:highlight w:val="white"/>
        </w:rPr>
        <w:lastRenderedPageBreak/>
        <w:t xml:space="preserve">There are week signs of linearity between log returns and time, but BJK, FUD, and PAGG do exhibit small upward trends, which are worth further exploring. Using the confidence intervals for mean and variance of log-returns, we found that longing XLY and shorting BJK and FUD might make sense from a long-term investment perspective. </w:t>
      </w:r>
      <w:r w:rsidR="00E80E04">
        <w:rPr>
          <w:rFonts w:ascii="Times New Roman" w:eastAsia="Times New Roman" w:hAnsi="Times New Roman" w:cs="Times New Roman"/>
          <w:sz w:val="27"/>
          <w:szCs w:val="27"/>
          <w:highlight w:val="white"/>
        </w:rPr>
        <w:t>Again,</w:t>
      </w:r>
      <w:r>
        <w:rPr>
          <w:rFonts w:ascii="Times New Roman" w:eastAsia="Times New Roman" w:hAnsi="Times New Roman" w:cs="Times New Roman"/>
          <w:sz w:val="27"/>
          <w:szCs w:val="27"/>
          <w:highlight w:val="white"/>
        </w:rPr>
        <w:t xml:space="preserve"> we are not sure whether the magnitude of the gain would consistently beat the market average.</w:t>
      </w:r>
      <w:r>
        <w:rPr>
          <w:rFonts w:ascii="Times New Roman" w:eastAsia="Times New Roman" w:hAnsi="Times New Roman" w:cs="Times New Roman"/>
          <w:b/>
          <w:color w:val="333333"/>
          <w:sz w:val="30"/>
          <w:szCs w:val="30"/>
          <w:highlight w:val="white"/>
        </w:rPr>
        <w:t xml:space="preserve"> </w:t>
      </w:r>
    </w:p>
    <w:p w:rsidR="002E69C1" w:rsidRDefault="002E69C1">
      <w:pPr>
        <w:rPr>
          <w:rFonts w:ascii="Times New Roman" w:eastAsia="Times New Roman" w:hAnsi="Times New Roman" w:cs="Times New Roman"/>
          <w:color w:val="333333"/>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Testing the equality of means conditional on NFL original team winning years, we positively concluded for BJK and PAGG that their log returns during those years were not higher. We were not able to reach any definitive conclusions for the S&amp;P 500 and the other ETFs.</w:t>
      </w:r>
    </w:p>
    <w:p w:rsidR="002E69C1" w:rsidRDefault="002E69C1">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sz w:val="27"/>
          <w:szCs w:val="27"/>
          <w:highlight w:val="white"/>
        </w:rPr>
      </w:pPr>
      <w:r>
        <w:rPr>
          <w:rFonts w:ascii="Times New Roman" w:eastAsia="Times New Roman" w:hAnsi="Times New Roman" w:cs="Times New Roman"/>
          <w:sz w:val="27"/>
          <w:szCs w:val="27"/>
          <w:highlight w:val="white"/>
        </w:rPr>
        <w:t xml:space="preserve">Finally, 9 out of 10 coefficient estimates from a linear regression on a single dummy variable were negative. </w:t>
      </w:r>
      <w:r w:rsidR="00E80E04">
        <w:rPr>
          <w:rFonts w:ascii="Times New Roman" w:eastAsia="Times New Roman" w:hAnsi="Times New Roman" w:cs="Times New Roman"/>
          <w:sz w:val="27"/>
          <w:szCs w:val="27"/>
          <w:highlight w:val="white"/>
        </w:rPr>
        <w:t>Therefore,</w:t>
      </w:r>
      <w:r>
        <w:rPr>
          <w:rFonts w:ascii="Times New Roman" w:eastAsia="Times New Roman" w:hAnsi="Times New Roman" w:cs="Times New Roman"/>
          <w:sz w:val="27"/>
          <w:szCs w:val="27"/>
          <w:highlight w:val="white"/>
        </w:rPr>
        <w:t xml:space="preserve"> we can say that, at least at face value, the Super Bowl indicator does not predict the direction of the market based on the 10 index and ETFs we selected. Yet only two estimates were significant, which further confirmed our results from testing the equality of conditional means. As a result, if there is one investment strategy that is truly worth considering based on this report, it is to short BJK and PAGG during years in which an original NFL team wins the Super Bowl.</w:t>
      </w:r>
    </w:p>
    <w:p w:rsidR="002E69C1" w:rsidRDefault="002E69C1">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E3253E" w:rsidRDefault="00E3253E">
      <w:pPr>
        <w:rPr>
          <w:rFonts w:ascii="Times New Roman" w:eastAsia="Times New Roman" w:hAnsi="Times New Roman" w:cs="Times New Roman"/>
          <w:sz w:val="27"/>
          <w:szCs w:val="27"/>
          <w:highlight w:val="white"/>
        </w:rPr>
      </w:pPr>
    </w:p>
    <w:p w:rsidR="002E69C1" w:rsidRDefault="00E3253E">
      <w:pPr>
        <w:rPr>
          <w:rFonts w:ascii="Times New Roman" w:eastAsia="Times New Roman" w:hAnsi="Times New Roman" w:cs="Times New Roman"/>
          <w:b/>
          <w:color w:val="333333"/>
          <w:sz w:val="30"/>
          <w:szCs w:val="30"/>
          <w:highlight w:val="white"/>
        </w:rPr>
      </w:pPr>
      <w:r>
        <w:rPr>
          <w:rFonts w:ascii="Times New Roman" w:eastAsia="Times New Roman" w:hAnsi="Times New Roman" w:cs="Times New Roman"/>
          <w:b/>
          <w:color w:val="333333"/>
          <w:sz w:val="30"/>
          <w:szCs w:val="30"/>
          <w:highlight w:val="white"/>
        </w:rPr>
        <w:t>References</w:t>
      </w:r>
    </w:p>
    <w:p w:rsidR="002E69C1" w:rsidRDefault="002E69C1">
      <w:pPr>
        <w:rPr>
          <w:rFonts w:ascii="Times New Roman" w:eastAsia="Times New Roman" w:hAnsi="Times New Roman" w:cs="Times New Roman"/>
          <w:b/>
          <w:color w:val="333333"/>
          <w:sz w:val="30"/>
          <w:szCs w:val="30"/>
          <w:highlight w:val="white"/>
        </w:rPr>
      </w:pPr>
    </w:p>
    <w:p w:rsidR="002E69C1" w:rsidRDefault="00D02A82">
      <w:pPr>
        <w:rPr>
          <w:rFonts w:ascii="Times New Roman" w:eastAsia="Times New Roman" w:hAnsi="Times New Roman" w:cs="Times New Roman"/>
          <w:b/>
          <w:color w:val="333333"/>
          <w:sz w:val="24"/>
          <w:szCs w:val="24"/>
          <w:highlight w:val="white"/>
        </w:rPr>
      </w:pPr>
      <w:hyperlink r:id="rId11">
        <w:r w:rsidR="00E3253E">
          <w:rPr>
            <w:rFonts w:ascii="Times New Roman" w:eastAsia="Times New Roman" w:hAnsi="Times New Roman" w:cs="Times New Roman"/>
            <w:b/>
            <w:color w:val="1155CC"/>
            <w:sz w:val="24"/>
            <w:szCs w:val="24"/>
            <w:highlight w:val="white"/>
            <w:u w:val="single"/>
          </w:rPr>
          <w:t>https://www.mlive.com/business/west-michigan/index.ssf/2009/03/what_are_the_old_wives_saying.html</w:t>
        </w:r>
      </w:hyperlink>
    </w:p>
    <w:p w:rsidR="002E69C1" w:rsidRDefault="002E69C1">
      <w:pPr>
        <w:rPr>
          <w:rFonts w:ascii="Times New Roman" w:eastAsia="Times New Roman" w:hAnsi="Times New Roman" w:cs="Times New Roman"/>
          <w:b/>
          <w:color w:val="333333"/>
          <w:sz w:val="24"/>
          <w:szCs w:val="24"/>
          <w:highlight w:val="white"/>
        </w:rPr>
      </w:pPr>
    </w:p>
    <w:p w:rsidR="002E69C1" w:rsidRDefault="002E69C1">
      <w:pPr>
        <w:rPr>
          <w:rFonts w:ascii="Times New Roman" w:eastAsia="Times New Roman" w:hAnsi="Times New Roman" w:cs="Times New Roman"/>
          <w:b/>
          <w:color w:val="333333"/>
          <w:sz w:val="24"/>
          <w:szCs w:val="24"/>
          <w:highlight w:val="white"/>
        </w:rPr>
      </w:pPr>
    </w:p>
    <w:p w:rsidR="002E69C1" w:rsidRDefault="002E69C1">
      <w:pPr>
        <w:rPr>
          <w:rFonts w:ascii="Times New Roman" w:eastAsia="Times New Roman" w:hAnsi="Times New Roman" w:cs="Times New Roman"/>
          <w:color w:val="333333"/>
          <w:sz w:val="24"/>
          <w:szCs w:val="24"/>
        </w:rPr>
      </w:pPr>
    </w:p>
    <w:p w:rsidR="002E69C1" w:rsidRDefault="00D02A82">
      <w:pPr>
        <w:rPr>
          <w:rFonts w:ascii="Times New Roman" w:eastAsia="Times New Roman" w:hAnsi="Times New Roman" w:cs="Times New Roman"/>
          <w:color w:val="333333"/>
          <w:sz w:val="24"/>
          <w:szCs w:val="24"/>
        </w:rPr>
      </w:pPr>
      <w:hyperlink r:id="rId12">
        <w:r w:rsidR="00E3253E">
          <w:rPr>
            <w:rFonts w:ascii="Times New Roman" w:eastAsia="Times New Roman" w:hAnsi="Times New Roman" w:cs="Times New Roman"/>
            <w:color w:val="1155CC"/>
            <w:sz w:val="24"/>
            <w:szCs w:val="24"/>
            <w:u w:val="single"/>
          </w:rPr>
          <w:t>https://www.quora.com/What-are-the-original-eight-NFL-teams</w:t>
        </w:r>
      </w:hyperlink>
    </w:p>
    <w:p w:rsidR="002E69C1" w:rsidRDefault="002E69C1">
      <w:pPr>
        <w:rPr>
          <w:rFonts w:ascii="Times New Roman" w:eastAsia="Times New Roman" w:hAnsi="Times New Roman" w:cs="Times New Roman"/>
          <w:color w:val="333333"/>
          <w:sz w:val="24"/>
          <w:szCs w:val="24"/>
        </w:rPr>
      </w:pPr>
    </w:p>
    <w:p w:rsidR="002E69C1" w:rsidRDefault="002E69C1">
      <w:pPr>
        <w:rPr>
          <w:b/>
          <w:color w:val="333333"/>
          <w:sz w:val="27"/>
          <w:szCs w:val="27"/>
          <w:highlight w:val="white"/>
        </w:rPr>
      </w:pPr>
    </w:p>
    <w:p w:rsidR="002E69C1" w:rsidRDefault="002E69C1">
      <w:pPr>
        <w:rPr>
          <w:rFonts w:ascii="Times New Roman" w:eastAsia="Times New Roman" w:hAnsi="Times New Roman" w:cs="Times New Roman"/>
          <w:b/>
          <w:color w:val="333333"/>
          <w:sz w:val="24"/>
          <w:szCs w:val="24"/>
          <w:highlight w:val="white"/>
        </w:rPr>
      </w:pPr>
    </w:p>
    <w:sectPr w:rsidR="002E69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773"/>
    <w:multiLevelType w:val="hybridMultilevel"/>
    <w:tmpl w:val="D7F8DCEC"/>
    <w:lvl w:ilvl="0" w:tplc="8FFAFA32">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E5405"/>
    <w:multiLevelType w:val="hybridMultilevel"/>
    <w:tmpl w:val="38B87046"/>
    <w:lvl w:ilvl="0" w:tplc="186074EE">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5153D"/>
    <w:multiLevelType w:val="hybridMultilevel"/>
    <w:tmpl w:val="64A45C50"/>
    <w:lvl w:ilvl="0" w:tplc="55F87184">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43E29"/>
    <w:multiLevelType w:val="hybridMultilevel"/>
    <w:tmpl w:val="EB50F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C602B"/>
    <w:multiLevelType w:val="hybridMultilevel"/>
    <w:tmpl w:val="8E5241EE"/>
    <w:lvl w:ilvl="0" w:tplc="92B0EB68">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2E69C1"/>
    <w:rsid w:val="000148C5"/>
    <w:rsid w:val="00232C97"/>
    <w:rsid w:val="002E69C1"/>
    <w:rsid w:val="003F7421"/>
    <w:rsid w:val="005372B6"/>
    <w:rsid w:val="00552FE1"/>
    <w:rsid w:val="006B0EC3"/>
    <w:rsid w:val="009F05DF"/>
    <w:rsid w:val="00A035CA"/>
    <w:rsid w:val="00AD4362"/>
    <w:rsid w:val="00B84AAA"/>
    <w:rsid w:val="00D02A82"/>
    <w:rsid w:val="00D1608F"/>
    <w:rsid w:val="00DE51E5"/>
    <w:rsid w:val="00E3253E"/>
    <w:rsid w:val="00E80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48FF"/>
  <w15:docId w15:val="{52E39CA9-A97C-1F43-BF9E-7DD93619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zh-CN"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FE1"/>
    <w:rPr>
      <w:sz w:val="20"/>
      <w:szCs w:val="20"/>
    </w:rPr>
  </w:style>
  <w:style w:type="paragraph" w:styleId="Heading1">
    <w:name w:val="heading 1"/>
    <w:basedOn w:val="Normal"/>
    <w:next w:val="Normal"/>
    <w:link w:val="Heading1Char"/>
    <w:uiPriority w:val="9"/>
    <w:qFormat/>
    <w:rsid w:val="00552FE1"/>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2FE1"/>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52FE1"/>
    <w:pPr>
      <w:pBdr>
        <w:top w:val="single" w:sz="6" w:space="2" w:color="3494BA" w:themeColor="accent1"/>
        <w:left w:val="single" w:sz="6" w:space="2" w:color="3494BA" w:themeColor="accent1"/>
      </w:pBdr>
      <w:spacing w:before="300" w:after="0"/>
      <w:outlineLvl w:val="2"/>
    </w:pPr>
    <w:rPr>
      <w:caps/>
      <w:color w:val="1A495C" w:themeColor="accent1" w:themeShade="7F"/>
      <w:spacing w:val="15"/>
      <w:sz w:val="22"/>
      <w:szCs w:val="22"/>
    </w:rPr>
  </w:style>
  <w:style w:type="paragraph" w:styleId="Heading4">
    <w:name w:val="heading 4"/>
    <w:basedOn w:val="Normal"/>
    <w:next w:val="Normal"/>
    <w:link w:val="Heading4Char"/>
    <w:uiPriority w:val="9"/>
    <w:semiHidden/>
    <w:unhideWhenUsed/>
    <w:qFormat/>
    <w:rsid w:val="00552FE1"/>
    <w:pPr>
      <w:pBdr>
        <w:top w:val="dotted" w:sz="6" w:space="2" w:color="3494BA" w:themeColor="accent1"/>
        <w:left w:val="dotted" w:sz="6" w:space="2" w:color="3494BA" w:themeColor="accent1"/>
      </w:pBdr>
      <w:spacing w:before="300" w:after="0"/>
      <w:outlineLvl w:val="3"/>
    </w:pPr>
    <w:rPr>
      <w:caps/>
      <w:color w:val="276E8B" w:themeColor="accent1" w:themeShade="BF"/>
      <w:spacing w:val="10"/>
      <w:sz w:val="22"/>
      <w:szCs w:val="22"/>
    </w:rPr>
  </w:style>
  <w:style w:type="paragraph" w:styleId="Heading5">
    <w:name w:val="heading 5"/>
    <w:basedOn w:val="Normal"/>
    <w:next w:val="Normal"/>
    <w:link w:val="Heading5Char"/>
    <w:uiPriority w:val="9"/>
    <w:semiHidden/>
    <w:unhideWhenUsed/>
    <w:qFormat/>
    <w:rsid w:val="00552FE1"/>
    <w:pPr>
      <w:pBdr>
        <w:bottom w:val="single" w:sz="6" w:space="1" w:color="3494BA" w:themeColor="accent1"/>
      </w:pBdr>
      <w:spacing w:before="300" w:after="0"/>
      <w:outlineLvl w:val="4"/>
    </w:pPr>
    <w:rPr>
      <w:caps/>
      <w:color w:val="276E8B" w:themeColor="accent1" w:themeShade="BF"/>
      <w:spacing w:val="10"/>
      <w:sz w:val="22"/>
      <w:szCs w:val="22"/>
    </w:rPr>
  </w:style>
  <w:style w:type="paragraph" w:styleId="Heading6">
    <w:name w:val="heading 6"/>
    <w:basedOn w:val="Normal"/>
    <w:next w:val="Normal"/>
    <w:link w:val="Heading6Char"/>
    <w:uiPriority w:val="9"/>
    <w:semiHidden/>
    <w:unhideWhenUsed/>
    <w:qFormat/>
    <w:rsid w:val="00552FE1"/>
    <w:pPr>
      <w:pBdr>
        <w:bottom w:val="dotted" w:sz="6" w:space="1" w:color="3494BA" w:themeColor="accent1"/>
      </w:pBdr>
      <w:spacing w:before="300" w:after="0"/>
      <w:outlineLvl w:val="5"/>
    </w:pPr>
    <w:rPr>
      <w:caps/>
      <w:color w:val="276E8B" w:themeColor="accent1" w:themeShade="BF"/>
      <w:spacing w:val="10"/>
      <w:sz w:val="22"/>
      <w:szCs w:val="22"/>
    </w:rPr>
  </w:style>
  <w:style w:type="paragraph" w:styleId="Heading7">
    <w:name w:val="heading 7"/>
    <w:basedOn w:val="Normal"/>
    <w:next w:val="Normal"/>
    <w:link w:val="Heading7Char"/>
    <w:uiPriority w:val="9"/>
    <w:semiHidden/>
    <w:unhideWhenUsed/>
    <w:qFormat/>
    <w:rsid w:val="00552FE1"/>
    <w:pPr>
      <w:spacing w:before="300" w:after="0"/>
      <w:outlineLvl w:val="6"/>
    </w:pPr>
    <w:rPr>
      <w:caps/>
      <w:color w:val="276E8B" w:themeColor="accent1" w:themeShade="BF"/>
      <w:spacing w:val="10"/>
      <w:sz w:val="22"/>
      <w:szCs w:val="22"/>
    </w:rPr>
  </w:style>
  <w:style w:type="paragraph" w:styleId="Heading8">
    <w:name w:val="heading 8"/>
    <w:basedOn w:val="Normal"/>
    <w:next w:val="Normal"/>
    <w:link w:val="Heading8Char"/>
    <w:uiPriority w:val="9"/>
    <w:semiHidden/>
    <w:unhideWhenUsed/>
    <w:qFormat/>
    <w:rsid w:val="00552FE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2F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E1"/>
    <w:pPr>
      <w:spacing w:before="720"/>
    </w:pPr>
    <w:rPr>
      <w:caps/>
      <w:color w:val="3494BA" w:themeColor="accent1"/>
      <w:spacing w:val="10"/>
      <w:kern w:val="28"/>
      <w:sz w:val="52"/>
      <w:szCs w:val="52"/>
    </w:rPr>
  </w:style>
  <w:style w:type="paragraph" w:styleId="Subtitle">
    <w:name w:val="Subtitle"/>
    <w:basedOn w:val="Normal"/>
    <w:next w:val="Normal"/>
    <w:link w:val="SubtitleChar"/>
    <w:uiPriority w:val="11"/>
    <w:qFormat/>
    <w:rsid w:val="00552FE1"/>
    <w:pPr>
      <w:spacing w:after="1000" w:line="240" w:lineRule="auto"/>
    </w:pPr>
    <w:rPr>
      <w:caps/>
      <w:color w:val="595959" w:themeColor="text1" w:themeTint="A6"/>
      <w:spacing w:val="1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52FE1"/>
    <w:pPr>
      <w:ind w:left="720"/>
      <w:contextualSpacing/>
    </w:pPr>
  </w:style>
  <w:style w:type="character" w:customStyle="1" w:styleId="Heading1Char">
    <w:name w:val="Heading 1 Char"/>
    <w:basedOn w:val="DefaultParagraphFont"/>
    <w:link w:val="Heading1"/>
    <w:uiPriority w:val="9"/>
    <w:rsid w:val="00552FE1"/>
    <w:rPr>
      <w:b/>
      <w:bCs/>
      <w:caps/>
      <w:color w:val="FFFFFF" w:themeColor="background1"/>
      <w:spacing w:val="15"/>
      <w:shd w:val="clear" w:color="auto" w:fill="3494BA" w:themeFill="accent1"/>
    </w:rPr>
  </w:style>
  <w:style w:type="character" w:customStyle="1" w:styleId="Heading2Char">
    <w:name w:val="Heading 2 Char"/>
    <w:basedOn w:val="DefaultParagraphFont"/>
    <w:link w:val="Heading2"/>
    <w:uiPriority w:val="9"/>
    <w:semiHidden/>
    <w:rsid w:val="00552FE1"/>
    <w:rPr>
      <w:caps/>
      <w:spacing w:val="15"/>
      <w:shd w:val="clear" w:color="auto" w:fill="D4EAF3" w:themeFill="accent1" w:themeFillTint="33"/>
    </w:rPr>
  </w:style>
  <w:style w:type="character" w:customStyle="1" w:styleId="Heading3Char">
    <w:name w:val="Heading 3 Char"/>
    <w:basedOn w:val="DefaultParagraphFont"/>
    <w:link w:val="Heading3"/>
    <w:uiPriority w:val="9"/>
    <w:semiHidden/>
    <w:rsid w:val="00552FE1"/>
    <w:rPr>
      <w:caps/>
      <w:color w:val="1A495C" w:themeColor="accent1" w:themeShade="7F"/>
      <w:spacing w:val="15"/>
    </w:rPr>
  </w:style>
  <w:style w:type="character" w:customStyle="1" w:styleId="Heading4Char">
    <w:name w:val="Heading 4 Char"/>
    <w:basedOn w:val="DefaultParagraphFont"/>
    <w:link w:val="Heading4"/>
    <w:uiPriority w:val="9"/>
    <w:semiHidden/>
    <w:rsid w:val="00552FE1"/>
    <w:rPr>
      <w:caps/>
      <w:color w:val="276E8B" w:themeColor="accent1" w:themeShade="BF"/>
      <w:spacing w:val="10"/>
    </w:rPr>
  </w:style>
  <w:style w:type="character" w:customStyle="1" w:styleId="Heading5Char">
    <w:name w:val="Heading 5 Char"/>
    <w:basedOn w:val="DefaultParagraphFont"/>
    <w:link w:val="Heading5"/>
    <w:uiPriority w:val="9"/>
    <w:semiHidden/>
    <w:rsid w:val="00552FE1"/>
    <w:rPr>
      <w:caps/>
      <w:color w:val="276E8B" w:themeColor="accent1" w:themeShade="BF"/>
      <w:spacing w:val="10"/>
    </w:rPr>
  </w:style>
  <w:style w:type="character" w:customStyle="1" w:styleId="Heading6Char">
    <w:name w:val="Heading 6 Char"/>
    <w:basedOn w:val="DefaultParagraphFont"/>
    <w:link w:val="Heading6"/>
    <w:uiPriority w:val="9"/>
    <w:semiHidden/>
    <w:rsid w:val="00552FE1"/>
    <w:rPr>
      <w:caps/>
      <w:color w:val="276E8B" w:themeColor="accent1" w:themeShade="BF"/>
      <w:spacing w:val="10"/>
    </w:rPr>
  </w:style>
  <w:style w:type="character" w:customStyle="1" w:styleId="Heading7Char">
    <w:name w:val="Heading 7 Char"/>
    <w:basedOn w:val="DefaultParagraphFont"/>
    <w:link w:val="Heading7"/>
    <w:uiPriority w:val="9"/>
    <w:semiHidden/>
    <w:rsid w:val="00552FE1"/>
    <w:rPr>
      <w:caps/>
      <w:color w:val="276E8B" w:themeColor="accent1" w:themeShade="BF"/>
      <w:spacing w:val="10"/>
    </w:rPr>
  </w:style>
  <w:style w:type="character" w:customStyle="1" w:styleId="Heading8Char">
    <w:name w:val="Heading 8 Char"/>
    <w:basedOn w:val="DefaultParagraphFont"/>
    <w:link w:val="Heading8"/>
    <w:uiPriority w:val="9"/>
    <w:semiHidden/>
    <w:rsid w:val="00552FE1"/>
    <w:rPr>
      <w:caps/>
      <w:spacing w:val="10"/>
      <w:sz w:val="18"/>
      <w:szCs w:val="18"/>
    </w:rPr>
  </w:style>
  <w:style w:type="character" w:customStyle="1" w:styleId="Heading9Char">
    <w:name w:val="Heading 9 Char"/>
    <w:basedOn w:val="DefaultParagraphFont"/>
    <w:link w:val="Heading9"/>
    <w:uiPriority w:val="9"/>
    <w:semiHidden/>
    <w:rsid w:val="00552FE1"/>
    <w:rPr>
      <w:i/>
      <w:caps/>
      <w:spacing w:val="10"/>
      <w:sz w:val="18"/>
      <w:szCs w:val="18"/>
    </w:rPr>
  </w:style>
  <w:style w:type="paragraph" w:styleId="Caption">
    <w:name w:val="caption"/>
    <w:basedOn w:val="Normal"/>
    <w:next w:val="Normal"/>
    <w:uiPriority w:val="35"/>
    <w:semiHidden/>
    <w:unhideWhenUsed/>
    <w:qFormat/>
    <w:rsid w:val="00552FE1"/>
    <w:rPr>
      <w:b/>
      <w:bCs/>
      <w:color w:val="276E8B" w:themeColor="accent1" w:themeShade="BF"/>
      <w:sz w:val="16"/>
      <w:szCs w:val="16"/>
    </w:rPr>
  </w:style>
  <w:style w:type="character" w:customStyle="1" w:styleId="TitleChar">
    <w:name w:val="Title Char"/>
    <w:basedOn w:val="DefaultParagraphFont"/>
    <w:link w:val="Title"/>
    <w:uiPriority w:val="10"/>
    <w:rsid w:val="00552FE1"/>
    <w:rPr>
      <w:caps/>
      <w:color w:val="3494BA" w:themeColor="accent1"/>
      <w:spacing w:val="10"/>
      <w:kern w:val="28"/>
      <w:sz w:val="52"/>
      <w:szCs w:val="52"/>
    </w:rPr>
  </w:style>
  <w:style w:type="character" w:customStyle="1" w:styleId="SubtitleChar">
    <w:name w:val="Subtitle Char"/>
    <w:basedOn w:val="DefaultParagraphFont"/>
    <w:link w:val="Subtitle"/>
    <w:uiPriority w:val="11"/>
    <w:rsid w:val="00552FE1"/>
    <w:rPr>
      <w:caps/>
      <w:color w:val="595959" w:themeColor="text1" w:themeTint="A6"/>
      <w:spacing w:val="10"/>
      <w:sz w:val="24"/>
      <w:szCs w:val="24"/>
    </w:rPr>
  </w:style>
  <w:style w:type="character" w:styleId="Strong">
    <w:name w:val="Strong"/>
    <w:uiPriority w:val="22"/>
    <w:qFormat/>
    <w:rsid w:val="00552FE1"/>
    <w:rPr>
      <w:b/>
      <w:bCs/>
    </w:rPr>
  </w:style>
  <w:style w:type="character" w:styleId="Emphasis">
    <w:name w:val="Emphasis"/>
    <w:uiPriority w:val="20"/>
    <w:qFormat/>
    <w:rsid w:val="00552FE1"/>
    <w:rPr>
      <w:caps/>
      <w:color w:val="1A495C" w:themeColor="accent1" w:themeShade="7F"/>
      <w:spacing w:val="5"/>
    </w:rPr>
  </w:style>
  <w:style w:type="paragraph" w:styleId="NoSpacing">
    <w:name w:val="No Spacing"/>
    <w:basedOn w:val="Normal"/>
    <w:link w:val="NoSpacingChar"/>
    <w:uiPriority w:val="1"/>
    <w:qFormat/>
    <w:rsid w:val="00552FE1"/>
    <w:pPr>
      <w:spacing w:before="0" w:after="0" w:line="240" w:lineRule="auto"/>
    </w:pPr>
  </w:style>
  <w:style w:type="character" w:customStyle="1" w:styleId="NoSpacingChar">
    <w:name w:val="No Spacing Char"/>
    <w:basedOn w:val="DefaultParagraphFont"/>
    <w:link w:val="NoSpacing"/>
    <w:uiPriority w:val="1"/>
    <w:rsid w:val="00552FE1"/>
    <w:rPr>
      <w:sz w:val="20"/>
      <w:szCs w:val="20"/>
    </w:rPr>
  </w:style>
  <w:style w:type="paragraph" w:styleId="Quote">
    <w:name w:val="Quote"/>
    <w:basedOn w:val="Normal"/>
    <w:next w:val="Normal"/>
    <w:link w:val="QuoteChar"/>
    <w:uiPriority w:val="29"/>
    <w:qFormat/>
    <w:rsid w:val="00552FE1"/>
    <w:rPr>
      <w:i/>
      <w:iCs/>
    </w:rPr>
  </w:style>
  <w:style w:type="character" w:customStyle="1" w:styleId="QuoteChar">
    <w:name w:val="Quote Char"/>
    <w:basedOn w:val="DefaultParagraphFont"/>
    <w:link w:val="Quote"/>
    <w:uiPriority w:val="29"/>
    <w:rsid w:val="00552FE1"/>
    <w:rPr>
      <w:i/>
      <w:iCs/>
      <w:sz w:val="20"/>
      <w:szCs w:val="20"/>
    </w:rPr>
  </w:style>
  <w:style w:type="paragraph" w:styleId="IntenseQuote">
    <w:name w:val="Intense Quote"/>
    <w:basedOn w:val="Normal"/>
    <w:next w:val="Normal"/>
    <w:link w:val="IntenseQuoteChar"/>
    <w:uiPriority w:val="30"/>
    <w:qFormat/>
    <w:rsid w:val="00552FE1"/>
    <w:pPr>
      <w:pBdr>
        <w:top w:val="single" w:sz="4" w:space="10" w:color="3494BA" w:themeColor="accent1"/>
        <w:left w:val="single" w:sz="4" w:space="10" w:color="3494BA" w:themeColor="accent1"/>
      </w:pBdr>
      <w:spacing w:after="0"/>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552FE1"/>
    <w:rPr>
      <w:i/>
      <w:iCs/>
      <w:color w:val="3494BA" w:themeColor="accent1"/>
      <w:sz w:val="20"/>
      <w:szCs w:val="20"/>
    </w:rPr>
  </w:style>
  <w:style w:type="character" w:styleId="SubtleEmphasis">
    <w:name w:val="Subtle Emphasis"/>
    <w:uiPriority w:val="19"/>
    <w:qFormat/>
    <w:rsid w:val="00552FE1"/>
    <w:rPr>
      <w:i/>
      <w:iCs/>
      <w:color w:val="1A495C" w:themeColor="accent1" w:themeShade="7F"/>
    </w:rPr>
  </w:style>
  <w:style w:type="character" w:styleId="IntenseEmphasis">
    <w:name w:val="Intense Emphasis"/>
    <w:uiPriority w:val="21"/>
    <w:qFormat/>
    <w:rsid w:val="00552FE1"/>
    <w:rPr>
      <w:b/>
      <w:bCs/>
      <w:caps/>
      <w:color w:val="1A495C" w:themeColor="accent1" w:themeShade="7F"/>
      <w:spacing w:val="10"/>
    </w:rPr>
  </w:style>
  <w:style w:type="character" w:styleId="SubtleReference">
    <w:name w:val="Subtle Reference"/>
    <w:uiPriority w:val="31"/>
    <w:qFormat/>
    <w:rsid w:val="00552FE1"/>
    <w:rPr>
      <w:b/>
      <w:bCs/>
      <w:color w:val="3494BA" w:themeColor="accent1"/>
    </w:rPr>
  </w:style>
  <w:style w:type="character" w:styleId="IntenseReference">
    <w:name w:val="Intense Reference"/>
    <w:uiPriority w:val="32"/>
    <w:qFormat/>
    <w:rsid w:val="00552FE1"/>
    <w:rPr>
      <w:b/>
      <w:bCs/>
      <w:i/>
      <w:iCs/>
      <w:caps/>
      <w:color w:val="3494BA" w:themeColor="accent1"/>
    </w:rPr>
  </w:style>
  <w:style w:type="character" w:styleId="BookTitle">
    <w:name w:val="Book Title"/>
    <w:uiPriority w:val="33"/>
    <w:qFormat/>
    <w:rsid w:val="00552FE1"/>
    <w:rPr>
      <w:b/>
      <w:bCs/>
      <w:i/>
      <w:iCs/>
      <w:spacing w:val="9"/>
    </w:rPr>
  </w:style>
  <w:style w:type="paragraph" w:styleId="TOCHeading">
    <w:name w:val="TOC Heading"/>
    <w:basedOn w:val="Heading1"/>
    <w:next w:val="Normal"/>
    <w:uiPriority w:val="39"/>
    <w:semiHidden/>
    <w:unhideWhenUsed/>
    <w:qFormat/>
    <w:rsid w:val="00552FE1"/>
    <w:pPr>
      <w:outlineLvl w:val="9"/>
    </w:pPr>
  </w:style>
  <w:style w:type="paragraph" w:customStyle="1" w:styleId="PersonalName">
    <w:name w:val="Personal Name"/>
    <w:basedOn w:val="Title"/>
    <w:rsid w:val="00552FE1"/>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quora.com/What-are-the-original-eight-NFL-te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live.com/business/west-michigan/index.ssf/2009/03/what_are_the_old_wives_saying.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961A-4C52-B04B-9FCB-9CCAAFEE3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Zhengchen Lv</cp:lastModifiedBy>
  <cp:revision>11</cp:revision>
  <dcterms:created xsi:type="dcterms:W3CDTF">2018-12-08T00:15:00Z</dcterms:created>
  <dcterms:modified xsi:type="dcterms:W3CDTF">2018-12-08T03:25:00Z</dcterms:modified>
</cp:coreProperties>
</file>