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FREELANCE SERVICES AGREEMENT (SAFE SAMPLE)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This Agreement is made between Lotus Studio (“Client”) and the freelance designer named in Schedule A (“Contractor”).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Services. </w:t>
      </w:r>
      <w:r>
        <w:rPr>
          <w:rFonts w:ascii="Arial" w:cs="Arial" w:eastAsia="Arial" w:hAnsi="Arial"/>
          <w:sz w:val="22"/>
          <w:szCs w:val="22"/>
        </w:rPr>
        <w:t xml:space="preserve">Contractor shall provide the graphic design services described in Schedule A.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Payment. </w:t>
      </w:r>
      <w:r>
        <w:rPr>
          <w:rFonts w:ascii="Arial" w:cs="Arial" w:eastAsia="Arial" w:hAnsi="Arial"/>
          <w:sz w:val="22"/>
          <w:szCs w:val="22"/>
        </w:rPr>
        <w:t xml:space="preserve">Client shall pay each invoice within thirty (30) days of the invoice date. Overdue amounts carry interest at 1.5 percent per month.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Term. </w:t>
      </w:r>
      <w:r>
        <w:rPr>
          <w:rFonts w:ascii="Arial" w:cs="Arial" w:eastAsia="Arial" w:hAnsi="Arial"/>
          <w:sz w:val="22"/>
          <w:szCs w:val="22"/>
        </w:rPr>
        <w:t xml:space="preserve">This Agreement begins on the effective date and ends when the Services are complete. It does not renew unless both parties sign a written extension.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Limitation of Liability. </w:t>
      </w:r>
      <w:r>
        <w:rPr>
          <w:rFonts w:ascii="Arial" w:cs="Arial" w:eastAsia="Arial" w:hAnsi="Arial"/>
          <w:sz w:val="22"/>
          <w:szCs w:val="22"/>
        </w:rPr>
        <w:t xml:space="preserve">Contractor’s total liability under this Agreement shall not exceed the fees paid to Contractor under this Agreement.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Confidentiality. </w:t>
      </w:r>
      <w:r>
        <w:rPr>
          <w:rFonts w:ascii="Arial" w:cs="Arial" w:eastAsia="Arial" w:hAnsi="Arial"/>
          <w:sz w:val="22"/>
          <w:szCs w:val="22"/>
        </w:rPr>
        <w:t xml:space="preserve">Each party shall keep the other party’s confidential information secret.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Governing Law. </w:t>
      </w:r>
      <w:r>
        <w:rPr>
          <w:rFonts w:ascii="Arial" w:cs="Arial" w:eastAsia="Arial" w:hAnsi="Arial"/>
          <w:sz w:val="22"/>
          <w:szCs w:val="22"/>
        </w:rPr>
        <w:t xml:space="preserve">This Agreement shall be governed by the laws of India, and the courts in Chennai, India shall have exclusive jurisdiction.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2026-10-23T10:36:39.910Z</dcterms:created>
  <dcterms:modified xsi:type="dcterms:W3CDTF">2026-10-23T10:36:39.910Z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