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Discussion, main-body figures (Fig 1-6) and the prioritized-candidate main table (Table 1). Abstract, Title and complete Methods/Results citations are pending (WRITING_PLAN.md steps 6-8).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 [@bray2024].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 [@johnson2020].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 [@burtness2019].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</w:t>
      </w:r>
      <w:r>
        <w:t xml:space="preserve"> </w:t>
      </w:r>
      <w:r>
        <w:t xml:space="preserve">[@uppaluri2025].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 [@ang2010].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 [@aebersold2016].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and the tumor microenvironment in HNSCC [@huang2021].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 [@pushpakom2019]. 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[@lamb2006; @subramanian2017; @evangelista2025],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 [@barabasi2011],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 [@liberzon2015] 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[@cannon2024]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Start w:id="2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Effective systemic options for HNSCC remain limited, and developing new agents de novo is slow and</w:t>
      </w:r>
      <w:r>
        <w:t xml:space="preserve"> </w:t>
      </w:r>
      <w:r>
        <w:t xml:space="preserve">costly; drug repurposing offers a faster, lower-risk route to deployable therapy</w:t>
      </w:r>
      <w:r>
        <w:t xml:space="preserve"> </w:t>
      </w:r>
      <w:r>
        <w:t xml:space="preserve">[@pushpakom2019; @tanoli2025]. Starting from the proteomes of paired HNSCC tumors, this study</w:t>
      </w:r>
      <w:r>
        <w:t xml:space="preserve"> </w:t>
      </w:r>
      <w:r>
        <w:t xml:space="preserve">delivers a mechanistically organized shortlist of repurposing candidates that resolves into four</w:t>
      </w:r>
      <w:r>
        <w:t xml:space="preserve"> </w:t>
      </w:r>
      <w:r>
        <w:t xml:space="preserve">interpretable therapeutic axes: EGFR (cetuximab and other anti-EGFR agents), epigenetic</w:t>
      </w:r>
      <w:r>
        <w:t xml:space="preserve"> </w:t>
      </w:r>
      <w:r>
        <w:t xml:space="preserve">(decitabine, azacitidine, tranylcypromine), proteasome (carfilzomib), and metabolic (metformin).</w:t>
      </w:r>
      <w:r>
        <w:t xml:space="preserve"> </w:t>
      </w:r>
      <w:r>
        <w:t xml:space="preserve">Two observations argue for taking the shortlist seriously. First, without disease-specific tuning,</w:t>
      </w:r>
      <w:r>
        <w:t xml:space="preserve"> </w:t>
      </w:r>
      <w:r>
        <w:t xml:space="preserve">the analysis re-discovered the EGFR axis, the only molecular target with established approved</w:t>
      </w:r>
      <w:r>
        <w:t xml:space="preserve"> </w:t>
      </w:r>
      <w:r>
        <w:t xml:space="preserve">therapy in HNSCC [@burtness2019; @carosi2026]. Second, the direction of change in the prioritized</w:t>
      </w:r>
      <w:r>
        <w:t xml:space="preserve"> </w:t>
      </w:r>
      <w:r>
        <w:t xml:space="preserve">targets was reproduced across two independent cohorts. The prioritization that produced this</w:t>
      </w:r>
      <w:r>
        <w:t xml:space="preserve"> </w:t>
      </w:r>
      <w:r>
        <w:t xml:space="preserve">shortlist weighs where a target sits in the tumor protein network together with how deployable its</w:t>
      </w:r>
      <w:r>
        <w:t xml:space="preserve"> </w:t>
      </w:r>
      <w:r>
        <w:t xml:space="preserve">drug is, rather than fold-change magnitude alone; it is the means by which the candidates are</w:t>
      </w:r>
      <w:r>
        <w:t xml:space="preserve"> </w:t>
      </w:r>
      <w:r>
        <w:t xml:space="preserve">ranked, not the claim of the work.</w:t>
      </w:r>
    </w:p>
    <w:p>
      <w:pPr>
        <w:pStyle w:val="BodyText"/>
      </w:pPr>
      <w:r>
        <w:t xml:space="preserve">The unsupervised recovery of cetuximab at the top of the ranking (composite 0.73), accompanied by</w:t>
      </w:r>
      <w:r>
        <w:t xml:space="preserve"> </w:t>
      </w:r>
      <w:r>
        <w:t xml:space="preserve">other approved EGFR-directed agents, served as an internal positive control: a method that</w:t>
      </w:r>
      <w:r>
        <w:t xml:space="preserve"> </w:t>
      </w:r>
      <w:r>
        <w:t xml:space="preserve">independently elevates the established standard target is more credible when it also nominates less</w:t>
      </w:r>
      <w:r>
        <w:t xml:space="preserve"> </w:t>
      </w:r>
      <w:r>
        <w:t xml:space="preserve">obvious ones. The recovery is consistent with independent HNSCC analyses that converge on EGFR by</w:t>
      </w:r>
      <w:r>
        <w:t xml:space="preserve"> </w:t>
      </w:r>
      <w:r>
        <w:t xml:space="preserve">different routes, including single-cell nominations of anti-EGFR agents [@li2024] and proteogenomic</w:t>
      </w:r>
      <w:r>
        <w:t xml:space="preserve"> </w:t>
      </w:r>
      <w:r>
        <w:t xml:space="preserve">stratification in which EGFR-high tumors respond to cetuximab in patient-derived xenografts</w:t>
      </w:r>
      <w:r>
        <w:t xml:space="preserve"> </w:t>
      </w:r>
      <w:r>
        <w:t xml:space="preserve">[@wu2025]. Beyond this control, the result invites viewing EGFR not as an isolated receptor but</w:t>
      </w:r>
      <w:r>
        <w:t xml:space="preserve"> </w:t>
      </w:r>
      <w:r>
        <w:t xml:space="preserve">as a central hub within a broader signaling network. Consistent with this, proteogenomic analysis of</w:t>
      </w:r>
      <w:r>
        <w:t xml:space="preserve"> </w:t>
      </w:r>
      <w:r>
        <w:t xml:space="preserve">the CPTAC HPV-negative cohort found that EGFR pathway activity is set by the abundance of EGFR</w:t>
      </w:r>
      <w:r>
        <w:t xml:space="preserve"> </w:t>
      </w:r>
      <w:r>
        <w:t xml:space="preserve">ligands, in particular AREG and TGFA, rather than by receptor amplification or overexpression, and</w:t>
      </w:r>
      <w:r>
        <w:t xml:space="preserve"> </w:t>
      </w:r>
      <w:r>
        <w:t xml:space="preserve">that ligand abundance, not receptor level, is the superior predictor of cetuximab response in</w:t>
      </w:r>
      <w:r>
        <w:t xml:space="preserve"> </w:t>
      </w:r>
      <w:r>
        <w:t xml:space="preserve">patient-derived xenografts and the proposed basis for selecting patients for anti-EGFR antibodies</w:t>
      </w:r>
      <w:r>
        <w:t xml:space="preserve"> </w:t>
      </w:r>
      <w:r>
        <w:t xml:space="preserve">[@huang2021]; the over-abundant receptor we prioritize is thus best read as one marker of a</w:t>
      </w:r>
      <w:r>
        <w:t xml:space="preserve"> </w:t>
      </w:r>
      <w:r>
        <w:t xml:space="preserve">ligand-driven hub rather than the rate-limiting factor itself. EGFR is frequently overexpressed in HNSCC, yet</w:t>
      </w:r>
      <w:r>
        <w:t xml:space="preserve"> </w:t>
      </w:r>
      <w:r>
        <w:t xml:space="preserve">single-agent anti-EGFR benefit is limited, a limitation that has been attributed to intrinsic and</w:t>
      </w:r>
      <w:r>
        <w:t xml:space="preserve"> </w:t>
      </w:r>
      <w:r>
        <w:t xml:space="preserve">acquired resistance, including compensatory receptor tyrosine kinase activation, downstream pathway</w:t>
      </w:r>
      <w:r>
        <w:t xml:space="preserve"> </w:t>
      </w:r>
      <w:r>
        <w:t xml:space="preserve">alterations, and epithelial-mesenchymal transition [@carosi2026]. Viewing EGFR as a network node</w:t>
      </w:r>
      <w:r>
        <w:t xml:space="preserve"> </w:t>
      </w:r>
      <w:r>
        <w:t xml:space="preserve">rather than a solitary target is consistent with the rationale for the combination strategies (dual</w:t>
      </w:r>
      <w:r>
        <w:t xml:space="preserve"> </w:t>
      </w:r>
      <w:r>
        <w:t xml:space="preserve">EGFR blockade, pan-HER inhibitors, or EGFR inhibition plus immunomodulation) currently being</w:t>
      </w:r>
      <w:r>
        <w:t xml:space="preserve"> </w:t>
      </w:r>
      <w:r>
        <w:t xml:space="preserve">explored to overcome resistance [@carosi2026; @bhatia2023]. The same network logic that recovers</w:t>
      </w:r>
      <w:r>
        <w:t xml:space="preserve"> </w:t>
      </w:r>
      <w:r>
        <w:t xml:space="preserve">EGFR also organizes the remaining candidates into interpretable mechanistic axes.</w:t>
      </w:r>
    </w:p>
    <w:p>
      <w:pPr>
        <w:pStyle w:val="BodyText"/>
      </w:pPr>
      <w:r>
        <w:t xml:space="preserve">Two non-canonical axes are the most novel nominations. The epigenetic axis, anchored by DNMT1</w:t>
      </w:r>
      <w:r>
        <w:t xml:space="preserve"> </w:t>
      </w:r>
      <w:r>
        <w:t xml:space="preserve">(decitabine, azacitidine) and MAOA (tranylcypromine), implicates chromatin and DNA-methylation</w:t>
      </w:r>
      <w:r>
        <w:t xml:space="preserve"> </w:t>
      </w:r>
      <w:r>
        <w:t xml:space="preserve">regulators as an integral part of the HNSCC tumor state rather than only a secondary</w:t>
      </w:r>
      <w:r>
        <w:t xml:space="preserve"> </w:t>
      </w:r>
      <w:r>
        <w:t xml:space="preserve">epiphenomenon. This places our prioritized epigenetic anchors (DNMT1, MAOA) within an externally</w:t>
      </w:r>
      <w:r>
        <w:t xml:space="preserve"> </w:t>
      </w:r>
      <w:r>
        <w:t xml:space="preserve">validated context: in the CPTAC HPV-negative cohort, the chromosomal-instability (CIN) molecular</w:t>
      </w:r>
      <w:r>
        <w:t xml:space="preserve"> </w:t>
      </w:r>
      <w:r>
        <w:t xml:space="preserve">subtype, the subgroup with the worst prognosis, showed elevated levels of multiple epigenetic</w:t>
      </w:r>
      <w:r>
        <w:t xml:space="preserve"> </w:t>
      </w:r>
      <w:r>
        <w:t xml:space="preserve">regulators at the protein but not the mRNA level [@huang2021]; the concordance is notable because a protein-level signal of this kind would be</w:t>
      </w:r>
      <w:r>
        <w:t xml:space="preserve"> </w:t>
      </w:r>
      <w:r>
        <w:t xml:space="preserve">largely invisible to transcriptome-based analyses. This axis carries a plausible translational</w:t>
      </w:r>
      <w:r>
        <w:t xml:space="preserve"> </w:t>
      </w:r>
      <w:r>
        <w:t xml:space="preserve">rationale: DNA methyltransferase</w:t>
      </w:r>
      <w:r>
        <w:t xml:space="preserve"> </w:t>
      </w:r>
      <w:r>
        <w:t xml:space="preserve">inhibition can increase tumor immunogenicity and remodel the immune microenvironment, which</w:t>
      </w:r>
      <w:r>
        <w:t xml:space="preserve"> </w:t>
      </w:r>
      <w:r>
        <w:t xml:space="preserve">provides a mechanistic basis for combining hypomethylating agents with immune-checkpoint inhibitors</w:t>
      </w:r>
      <w:r>
        <w:t xml:space="preserve"> </w:t>
      </w:r>
      <w:r>
        <w:t xml:space="preserve">[@qin2025]. A recent phase 1b trial in immune-checkpoint-refractory HNSCC reported that, in a subset of patients, adding</w:t>
      </w:r>
      <w:r>
        <w:t xml:space="preserve"> </w:t>
      </w:r>
      <w:r>
        <w:t xml:space="preserve">low-dose 5-azacytidine to checkpoint blockade increased the intratumoral IFN-γ signature and PD-L1</w:t>
      </w:r>
      <w:r>
        <w:t xml:space="preserve"> </w:t>
      </w:r>
      <w:r>
        <w:t xml:space="preserve">expression, raised CD8+ T-cell infiltration while lowering regulatory T cells, and that these</w:t>
      </w:r>
      <w:r>
        <w:t xml:space="preserve"> </w:t>
      </w:r>
      <w:r>
        <w:t xml:space="preserve">changes correlated with prolonged survival on checkpoint rechallenge [@qin2025], illustrating the</w:t>
      </w:r>
      <w:r>
        <w:t xml:space="preserve"> </w:t>
      </w:r>
      <w:r>
        <w:t xml:space="preserve">prime-then-checkpoint strategy that our epigenetic nominations would support, an approach now being</w:t>
      </w:r>
      <w:r>
        <w:t xml:space="preserve"> </w:t>
      </w:r>
      <w:r>
        <w:t xml:space="preserve">explored clinically in this disease.</w:t>
      </w:r>
      <w:r>
        <w:t xml:space="preserve"> </w:t>
      </w:r>
      <w:r>
        <w:t xml:space="preserve">The proteasome axis, anchored by the 20S subunits PSMA2 and PSMB3 (carfilzomib), points to a</w:t>
      </w:r>
      <w:r>
        <w:t xml:space="preserve"> </w:t>
      </w:r>
      <w:r>
        <w:t xml:space="preserve">possible dependence on protein homeostasis: a high biosynthetic burden and accumulation of</w:t>
      </w:r>
      <w:r>
        <w:t xml:space="preserve"> </w:t>
      </w:r>
      <w:r>
        <w:t xml:space="preserve">misfolded proteins could render HNSCC cells reliant on proteasomal clearance, a vulnerability that</w:t>
      </w:r>
      <w:r>
        <w:t xml:space="preserve"> </w:t>
      </w:r>
      <w:r>
        <w:t xml:space="preserve">next-generation proteasome inhibitors such as carfilzomib and oprozomib have been reported to</w:t>
      </w:r>
      <w:r>
        <w:t xml:space="preserve"> </w:t>
      </w:r>
      <w:r>
        <w:t xml:space="preserve">exploit in HNSCC preclinical models, in part through induction of the unfolded protein response</w:t>
      </w:r>
      <w:r>
        <w:t xml:space="preserve"> </w:t>
      </w:r>
      <w:r>
        <w:t xml:space="preserve">[@zang2012]. The hub is shared by several approved or investigational proteasome inhibitors;</w:t>
      </w:r>
      <w:r>
        <w:t xml:space="preserve"> </w:t>
      </w:r>
      <w:r>
        <w:t xml:space="preserve">bortezomib (as its D-mannitol formulation) and ixazomib rank highest by composite, whereas</w:t>
      </w:r>
      <w:r>
        <w:t xml:space="preserve"> </w:t>
      </w:r>
      <w:r>
        <w:t xml:space="preserve">carfilzomib, although marginally lower, is the agent we highlight for experimental follow-up because</w:t>
      </w:r>
      <w:r>
        <w:t xml:space="preserve"> </w:t>
      </w:r>
      <w:r>
        <w:t xml:space="preserve">it uniquely couples connectivity-based signature reversal with the HNSCC preclinical evidence cited</w:t>
      </w:r>
      <w:r>
        <w:t xml:space="preserve"> </w:t>
      </w:r>
      <w:r>
        <w:t xml:space="preserve">above. Proteostasis targeting is clinically established in hematologic malignancies but</w:t>
      </w:r>
      <w:r>
        <w:t xml:space="preserve"> </w:t>
      </w:r>
      <w:r>
        <w:t xml:space="preserve">comparatively under-explored in solid tumors such as HNSCC [@zang2012], which positions this axis</w:t>
      </w:r>
      <w:r>
        <w:t xml:space="preserve"> </w:t>
      </w:r>
      <w:r>
        <w:t xml:space="preserve">as a hypothesis worth dedicated preclinical testing rather than an established therapy. A feature</w:t>
      </w:r>
      <w:r>
        <w:t xml:space="preserve"> </w:t>
      </w:r>
      <w:r>
        <w:t xml:space="preserve">that distinguishes both axes from EGFR is that their anchors are differentially abundant nodes whose</w:t>
      </w:r>
      <w:r>
        <w:t xml:space="preserve"> </w:t>
      </w:r>
      <w:r>
        <w:t xml:space="preserve">proposed therapeutic logic would be reprogramming or stress-exploitation rather than the simple</w:t>
      </w:r>
      <w:r>
        <w:t xml:space="preserve"> </w:t>
      </w:r>
      <w:r>
        <w:t xml:space="preserve">inhibition of an overexpressed driver.</w:t>
      </w:r>
    </w:p>
    <w:p>
      <w:pPr>
        <w:pStyle w:val="BodyText"/>
      </w:pPr>
      <w:r>
        <w:t xml:space="preserve">The metabolic axis requires the most careful framing. Unlike EGFR, which is over-abundant and</w:t>
      </w:r>
      <w:r>
        <w:t xml:space="preserve"> </w:t>
      </w:r>
      <w:r>
        <w:t xml:space="preserve">addressed by direct inhibition, Complex I subunits were robustly under-abundant in tumors</w:t>
      </w:r>
      <w:r>
        <w:t xml:space="preserve"> </w:t>
      </w:r>
      <w:r>
        <w:t xml:space="preserve">(NDUFS2 log2FC = -3.05), a direction reproduced in both the CPTAC proteome and the TCGA</w:t>
      </w:r>
      <w:r>
        <w:t xml:space="preserve"> </w:t>
      </w:r>
      <w:r>
        <w:t xml:space="preserve">transcriptome and consistent with a glycolytic, Warburg-like shift. Metformin rose to the top of</w:t>
      </w:r>
      <w:r>
        <w:t xml:space="preserve"> </w:t>
      </w:r>
      <w:r>
        <w:t xml:space="preserve">the metabolic module (composite 0.59) through the high network centrality of its anchor, NDUFS2,</w:t>
      </w:r>
      <w:r>
        <w:t xml:space="preserve"> </w:t>
      </w:r>
      <w:r>
        <w:t xml:space="preserve">independent of fold-change direction. Its nomination therefore rests on a metabolic-vulnerability</w:t>
      </w:r>
      <w:r>
        <w:t xml:space="preserve"> </w:t>
      </w:r>
      <w:r>
        <w:t xml:space="preserve">rationale rather than on target overexpression. Although HNSCC is predominantly glycolytic at the</w:t>
      </w:r>
      <w:r>
        <w:t xml:space="preserve"> </w:t>
      </w:r>
      <w:r>
        <w:t xml:space="preserve">bulk level, tumor metabolism is plastic and heterogeneous: subpopulations, including certain</w:t>
      </w:r>
      <w:r>
        <w:t xml:space="preserve"> </w:t>
      </w:r>
      <w:r>
        <w:t xml:space="preserve">cancer-stem-cell states, can shift toward oxidative phosphorylation depending on microenvironmental</w:t>
      </w:r>
      <w:r>
        <w:t xml:space="preserve"> </w:t>
      </w:r>
      <w:r>
        <w:t xml:space="preserve">context, and this plasticity has been linked to therapy resistance [@papadaki2022; @shen2020]. A</w:t>
      </w:r>
      <w:r>
        <w:t xml:space="preserve"> </w:t>
      </w:r>
      <w:r>
        <w:t xml:space="preserve">residual or subpopulation-level dependence on oxidative phosphorylation could therefore remain a</w:t>
      </w:r>
      <w:r>
        <w:t xml:space="preserve"> </w:t>
      </w:r>
      <w:r>
        <w:t xml:space="preserve">targetable feature even in a globally glycolytic tumor, and Complex I inhibition has been reported</w:t>
      </w:r>
      <w:r>
        <w:t xml:space="preserve"> </w:t>
      </w:r>
      <w:r>
        <w:t xml:space="preserve">to exert immunometabolic effects on the tumor microenvironment [@pujaltemartin2024]. In HNSCC specifically,</w:t>
      </w:r>
      <w:r>
        <w:t xml:space="preserve"> </w:t>
      </w:r>
      <w:r>
        <w:t xml:space="preserve">metformin use has been associated with improved outcomes and may act in part through immune</w:t>
      </w:r>
      <w:r>
        <w:t xml:space="preserve"> </w:t>
      </w:r>
      <w:r>
        <w:t xml:space="preserve">mechanisms, including increased CD8+ infiltration and enhanced natural-killer-cell cytotoxicity</w:t>
      </w:r>
      <w:r>
        <w:t xml:space="preserve"> </w:t>
      </w:r>
      <w:r>
        <w:t xml:space="preserve">[@curry2018; @crist2022]. Notably, this activity appears to depend on HPV status: metformin induced</w:t>
      </w:r>
      <w:r>
        <w:t xml:space="preserve"> </w:t>
      </w:r>
      <w:r>
        <w:t xml:space="preserve">significantly greater tumor-cell apoptosis in HPV-negative than in HPV-positive HNSCC, consistent</w:t>
      </w:r>
      <w:r>
        <w:t xml:space="preserve"> </w:t>
      </w:r>
      <w:r>
        <w:t xml:space="preserve">with the stronger glycolytic phenotype of HPV-negative disease [@curry2018]. A pharmacokinetic</w:t>
      </w:r>
      <w:r>
        <w:t xml:space="preserve"> </w:t>
      </w:r>
      <w:r>
        <w:t xml:space="preserve">consideration further shapes this interpretation: metformin inhibits Complex I only at millimolar</w:t>
      </w:r>
      <w:r>
        <w:t xml:space="preserve"> </w:t>
      </w:r>
      <w:r>
        <w:t xml:space="preserve">concentrations, well above the micromolar levels reached in patient plasma [@pujaltemartin2024], so</w:t>
      </w:r>
      <w:r>
        <w:t xml:space="preserve"> </w:t>
      </w:r>
      <w:r>
        <w:t xml:space="preserve">its clinical value may derive less from direct metabolic inhibition of tumor cells than from</w:t>
      </w:r>
      <w:r>
        <w:t xml:space="preserve"> </w:t>
      </w:r>
      <w:r>
        <w:t xml:space="preserve">reprogramming of the immune microenvironment. Consistent with this, single-agent metformin trials</w:t>
      </w:r>
      <w:r>
        <w:t xml:space="preserve"> </w:t>
      </w:r>
      <w:r>
        <w:t xml:space="preserve">have been less effective than observational data suggested [@pujaltemartin2024], and early-phase</w:t>
      </w:r>
      <w:r>
        <w:t xml:space="preserve"> </w:t>
      </w:r>
      <w:r>
        <w:t xml:space="preserve">HNSCC studies indicate tolerability in combination with chemoradiation [@kemnade2023]; we therefore</w:t>
      </w:r>
      <w:r>
        <w:t xml:space="preserve"> </w:t>
      </w:r>
      <w:r>
        <w:t xml:space="preserve">position metformin as a combination candidate (with chemoradiation or immunotherapy) rather than as</w:t>
      </w:r>
      <w:r>
        <w:t xml:space="preserve"> </w:t>
      </w:r>
      <w:r>
        <w:t xml:space="preserve">a single-agent inhibitor of an over-expressed target.</w:t>
      </w:r>
    </w:p>
    <w:p>
      <w:pPr>
        <w:pStyle w:val="BodyText"/>
      </w:pPr>
      <w:r>
        <w:t xml:space="preserve">More broadly, this study sits within, but is distinct from, prior repurposing efforts in HNSCC.</w:t>
      </w:r>
      <w:r>
        <w:t xml:space="preserve"> </w:t>
      </w:r>
      <w:r>
        <w:t xml:space="preserve">Experimental high-throughput screens nominate candidates directly from drug response but depend on</w:t>
      </w:r>
      <w:r>
        <w:t xml:space="preserve"> </w:t>
      </w:r>
      <w:r>
        <w:t xml:space="preserve">dedicated cell or patient-derived-cell resources [@gu2022], whereas existing in silico efforts have</w:t>
      </w:r>
      <w:r>
        <w:t xml:space="preserve"> </w:t>
      </w:r>
      <w:r>
        <w:t xml:space="preserve">typically operated on transcriptomic or genomic data from public repositories and converged on a</w:t>
      </w:r>
      <w:r>
        <w:t xml:space="preserve"> </w:t>
      </w:r>
      <w:r>
        <w:t xml:space="preserve">single hub target and a single drug [@kumar2025], or have applied network-medicine frameworks to</w:t>
      </w:r>
      <w:r>
        <w:t xml:space="preserve"> </w:t>
      </w:r>
      <w:r>
        <w:t xml:space="preserve">pan-cancer interactome modules rather than to a disease-specific proteome [@cheng2019; @barabasi2011].</w:t>
      </w:r>
      <w:r>
        <w:t xml:space="preserve"> </w:t>
      </w:r>
      <w:r>
        <w:t xml:space="preserve">Our contribution is the combination of three features: a paired tumor/normal DIA proteome as the</w:t>
      </w:r>
      <w:r>
        <w:t xml:space="preserve"> </w:t>
      </w:r>
      <w:r>
        <w:t xml:space="preserve">substrate, closer to the functional effector layer than mRNA; a network-centrality and</w:t>
      </w:r>
      <w:r>
        <w:t xml:space="preserve"> </w:t>
      </w:r>
      <w:r>
        <w:t xml:space="preserve">drug-deployability composite that resolves into several mechanistic axes rather than one target; and</w:t>
      </w:r>
      <w:r>
        <w:t xml:space="preserve"> </w:t>
      </w:r>
      <w:r>
        <w:t xml:space="preserve">directional corroboration across two external cohorts. By design the composite is dominated by</w:t>
      </w:r>
      <w:r>
        <w:t xml:space="preserve"> </w:t>
      </w:r>
      <w:r>
        <w:t xml:space="preserve">network centrality (Spearman rho approximately 0.78 with centrality alone): centrality carries the</w:t>
      </w:r>
      <w:r>
        <w:t xml:space="preserve"> </w:t>
      </w:r>
      <w:r>
        <w:t xml:space="preserve">biological signal, while the drug-level DrugViability term determines which agent to advance among</w:t>
      </w:r>
      <w:r>
        <w:t xml:space="preserve"> </w:t>
      </w:r>
      <w:r>
        <w:t xml:space="preserve">compounds that share a prioritized target. We therefore present the score as a transparent</w:t>
      </w:r>
      <w:r>
        <w:t xml:space="preserve"> </w:t>
      </w:r>
      <w:r>
        <w:t xml:space="preserve">aggregation of evidence rather than as a method whose superiority over fold-change or database-count</w:t>
      </w:r>
      <w:r>
        <w:t xml:space="preserve"> </w:t>
      </w:r>
      <w:r>
        <w:t xml:space="preserve">ranking is established, a comparison that would require dedicated benchmarking</w:t>
      </w:r>
      <w:r>
        <w:t xml:space="preserve"> </w:t>
      </w:r>
      <w:r>
        <w:t xml:space="preserve">[@pushpakom2019; @tanoli2025; @flanary2023]. Several prioritized agents are approved for</w:t>
      </w:r>
      <w:r>
        <w:t xml:space="preserve"> </w:t>
      </w:r>
      <w:r>
        <w:t xml:space="preserve">non-oncologic indications (valproate, acetazolamide, disulfiram) and could in principle offer</w:t>
      </w:r>
      <w:r>
        <w:t xml:space="preserve"> </w:t>
      </w:r>
      <w:r>
        <w:t xml:space="preserve">short-horizon, accessible repurposing options. Because single-agent repurposing has frequently</w:t>
      </w:r>
      <w:r>
        <w:t xml:space="preserve"> </w:t>
      </w:r>
      <w:r>
        <w:t xml:space="preserve">failed in HNSCC, as in a randomized trial of pantoprazole added to systemic therapy [@noronha2023],</w:t>
      </w:r>
      <w:r>
        <w:t xml:space="preserve"> </w:t>
      </w:r>
      <w:r>
        <w:t xml:space="preserve">and because the field is shifting toward perioperative, immunotherapy-based regimens in resectable</w:t>
      </w:r>
      <w:r>
        <w:t xml:space="preserve"> </w:t>
      </w:r>
      <w:r>
        <w:t xml:space="preserve">disease [@uppaluri2025], the prioritized agents are best positioned as combination candidates:</w:t>
      </w:r>
      <w:r>
        <w:t xml:space="preserve"> </w:t>
      </w:r>
      <w:r>
        <w:t xml:space="preserve">those that prime or sensitize the tumor microenvironment could complement checkpoint blockade, as</w:t>
      </w:r>
      <w:r>
        <w:t xml:space="preserve"> </w:t>
      </w:r>
      <w:r>
        <w:t xml:space="preserve">illustrated by repurposed fenofibrate in HPV+ models [@oneill2022], although our data speak to</w:t>
      </w:r>
      <w:r>
        <w:t xml:space="preserve"> </w:t>
      </w:r>
      <w:r>
        <w:t xml:space="preserve">target biology rather than to patient selection.</w:t>
      </w:r>
    </w:p>
    <w:p>
      <w:pPr>
        <w:pStyle w:val="BodyText"/>
      </w:pPr>
      <w:r>
        <w:t xml:space="preserve">Several limitations bound these conclusions. The discovery cohort is small (10 paired specimens);</w:t>
      </w:r>
      <w:r>
        <w:t xml:space="preserve"> </w:t>
      </w:r>
      <w:r>
        <w:t xml:space="preserve">cross-cohort corroboration mitigates but does not replace adequately powered confirmation. The</w:t>
      </w:r>
      <w:r>
        <w:t xml:space="preserve"> </w:t>
      </w:r>
      <w:r>
        <w:t xml:space="preserve">cohort is also mixed by HPV status (six HPV-positive, four HPV-negative) and the</w:t>
      </w:r>
      <w:r>
        <w:t xml:space="preserve"> </w:t>
      </w:r>
      <w:r>
        <w:t xml:space="preserve">differential-abundance analysis averaged over it, whereas one corroborating cohort (CPTAC) is</w:t>
      </w:r>
      <w:r>
        <w:t xml:space="preserve"> </w:t>
      </w:r>
      <w:r>
        <w:t xml:space="preserve">exclusively HPV-negative; because HPV-positive and HPV-negative HNSCC differ substantially in</w:t>
      </w:r>
      <w:r>
        <w:t xml:space="preserve"> </w:t>
      </w:r>
      <w:r>
        <w:t xml:space="preserve">metabolism and immune context [@curry2018], some axis-level interpretations, in particular the</w:t>
      </w:r>
      <w:r>
        <w:t xml:space="preserve"> </w:t>
      </w:r>
      <w:r>
        <w:t xml:space="preserve">metabolic axis, may apply preferentially to the more glycolytic HPV-negative subgroup rather than</w:t>
      </w:r>
      <w:r>
        <w:t xml:space="preserve"> </w:t>
      </w:r>
      <w:r>
        <w:t xml:space="preserve">uniformly across HNSCC. If anything, this concentrates the relevance of the prioritized candidates</w:t>
      </w:r>
      <w:r>
        <w:t xml:space="preserve"> </w:t>
      </w:r>
      <w:r>
        <w:t xml:space="preserve">on HPV-negative disease, the subgroup that carries the worst prognosis and the greatest unmet</w:t>
      </w:r>
      <w:r>
        <w:t xml:space="preserve"> </w:t>
      </w:r>
      <w:r>
        <w:t xml:space="preserve">therapeutic need [@ang2010; @johnson2020], since the corroborating CPTAC proteome is itself</w:t>
      </w:r>
      <w:r>
        <w:t xml:space="preserve"> </w:t>
      </w:r>
      <w:r>
        <w:t xml:space="preserve">HPV-negative. Tumor</w:t>
      </w:r>
      <w:r>
        <w:t xml:space="preserve"> </w:t>
      </w:r>
      <w:r>
        <w:t xml:space="preserve">and adjacent-normal specimens differ in cellular composition, and muscle and respiratory-mucosa</w:t>
      </w:r>
      <w:r>
        <w:t xml:space="preserve"> </w:t>
      </w:r>
      <w:r>
        <w:t xml:space="preserve">signals in the down-regulated proteome likely reflect tissue context rather than tumor-intrinsic</w:t>
      </w:r>
      <w:r>
        <w:t xml:space="preserve"> </w:t>
      </w:r>
      <w:r>
        <w:t xml:space="preserve">biology; hallmark terms such as Myogenesis and Adipogenesis should be read accordingly, although</w:t>
      </w:r>
      <w:r>
        <w:t xml:space="preserve"> </w:t>
      </w:r>
      <w:r>
        <w:t xml:space="preserve">sensitivity analyses excluding tissue-composition markers left the prioritized targets and the</w:t>
      </w:r>
      <w:r>
        <w:t xml:space="preserve"> </w:t>
      </w:r>
      <w:r>
        <w:t xml:space="preserve">oxidative-phosphorylation axis essentially unchanged. Data-independent acquisition with MinProb</w:t>
      </w:r>
      <w:r>
        <w:t xml:space="preserve"> </w:t>
      </w:r>
      <w:r>
        <w:t xml:space="preserve">imputation can mildly bias proteins absent from tumor tissue toward apparent under-abundance, an</w:t>
      </w:r>
      <w:r>
        <w:t xml:space="preserve"> </w:t>
      </w:r>
      <w:r>
        <w:t xml:space="preserve">effect that appears to be largely genuine biology and affected only a small minority of</w:t>
      </w:r>
      <w:r>
        <w:t xml:space="preserve"> </w:t>
      </w:r>
      <w:r>
        <w:t xml:space="preserve">under-abundant proteins. The differential-abundance component of the score is directional,</w:t>
      </w:r>
      <w:r>
        <w:t xml:space="preserve"> </w:t>
      </w:r>
      <w:r>
        <w:t xml:space="preserve">rewarding inhibition of over-abundant targets, so under-abundant or potential tumor-suppressor</w:t>
      </w:r>
      <w:r>
        <w:t xml:space="preserve"> </w:t>
      </w:r>
      <w:r>
        <w:t xml:space="preserve">nodes are structurally down-weighted and reach prioritization mainly through centrality, as for the</w:t>
      </w:r>
      <w:r>
        <w:t xml:space="preserve"> </w:t>
      </w:r>
      <w:r>
        <w:t xml:space="preserve">metabolic axis. Crucially, the external cohorts corroborate the direction of change in the</w:t>
      </w:r>
      <w:r>
        <w:t xml:space="preserve"> </w:t>
      </w:r>
      <w:r>
        <w:t xml:space="preserve">prioritized targets; they do not test drug efficacy or the candidate rank order, and four anchors</w:t>
      </w:r>
      <w:r>
        <w:t xml:space="preserve"> </w:t>
      </w:r>
      <w:r>
        <w:t xml:space="preserve">(PDE6D, CA2, CDA, RPS11) were weakly concordant or discordant and should be treated as</w:t>
      </w:r>
      <w:r>
        <w:t xml:space="preserve"> </w:t>
      </w:r>
      <w:r>
        <w:t xml:space="preserve">lower-confidence nominations.</w:t>
      </w:r>
    </w:p>
    <w:p>
      <w:pPr>
        <w:pStyle w:val="BodyText"/>
      </w:pPr>
      <w:r>
        <w:t xml:space="preserve">This is an in silico prioritization, so the candidates are hypotheses that require functional</w:t>
      </w:r>
      <w:r>
        <w:t xml:space="preserve"> </w:t>
      </w:r>
      <w:r>
        <w:t xml:space="preserve">validation, and the axes suggest concrete next experiments. The epigenetic axis is most directly</w:t>
      </w:r>
      <w:r>
        <w:t xml:space="preserve"> </w:t>
      </w:r>
      <w:r>
        <w:t xml:space="preserve">testable through a prime-then-checkpoint sequence, decitabine or azacitidine followed by PD-1</w:t>
      </w:r>
      <w:r>
        <w:t xml:space="preserve"> </w:t>
      </w:r>
      <w:r>
        <w:t xml:space="preserve">blockade, in immunocompetent HNSCC models with readouts of tumor-infiltrating lymphocytes and PD-L1</w:t>
      </w:r>
      <w:r>
        <w:t xml:space="preserve"> </w:t>
      </w:r>
      <w:r>
        <w:t xml:space="preserve">[@qin2025]. The proteasome axis warrants dose-response testing of carfilzomib in HNSCC cell lines</w:t>
      </w:r>
      <w:r>
        <w:t xml:space="preserve"> </w:t>
      </w:r>
      <w:r>
        <w:t xml:space="preserve">and patient-derived xenografts with an unfolded-protein-response readout, the under-explored axis</w:t>
      </w:r>
      <w:r>
        <w:t xml:space="preserve"> </w:t>
      </w:r>
      <w:r>
        <w:t xml:space="preserve">with the least precedent in solid tumors [@zang2012]. The metabolic axis is the closest to the</w:t>
      </w:r>
      <w:r>
        <w:t xml:space="preserve"> </w:t>
      </w:r>
      <w:r>
        <w:t xml:space="preserve">clinic and is best advanced as metformin combined with chemoradiation or checkpoint blockade rather</w:t>
      </w:r>
      <w:r>
        <w:t xml:space="preserve"> </w:t>
      </w:r>
      <w:r>
        <w:t xml:space="preserve">than as monotherapy, building on early-phase tolerability data [@kemnade2023]. Within these bounds,</w:t>
      </w:r>
      <w:r>
        <w:t xml:space="preserve"> </w:t>
      </w:r>
      <w:r>
        <w:t xml:space="preserve">the study offers a credible, mechanism-organized set of repurposing candidates and a prioritized</w:t>
      </w:r>
      <w:r>
        <w:t xml:space="preserve"> </w:t>
      </w:r>
      <w:r>
        <w:t xml:space="preserve">agenda for preclinical and combination-trial follow-up in HNSCC.</w:t>
      </w:r>
    </w:p>
    <w:bookmarkEnd w:id="26"/>
    <w:bookmarkEnd w:id="27"/>
    <w:bookmarkStart w:id="46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258142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(HNSCC),</w:t>
      </w:r>
      <w:r>
        <w:t xml:space="preserve"> </w:t>
      </w:r>
      <w:r>
        <w:t xml:space="preserve">color-coded by stage. Ten paired tumor / adjacent-normal specimens were profiled by</w:t>
      </w:r>
      <w:r>
        <w:t xml:space="preserve"> </w:t>
      </w:r>
      <w:r>
        <w:t xml:space="preserve">data-independent acquisition (DIA) mass spectrometry (MaxQuant), yielding 3,352 quantified</w:t>
      </w:r>
      <w:r>
        <w:t xml:space="preserve"> </w:t>
      </w:r>
      <w:r>
        <w:t xml:space="preserve">proteins. Differential abundance (limma, paired contrast; |log₂FC| &gt; 1, FDR &lt; 0.05) defined the</w:t>
      </w:r>
      <w:r>
        <w:t xml:space="preserve"> </w:t>
      </w:r>
      <w:r>
        <w:t xml:space="preserve">tumor proteomic signature (666 differentially abundant proteins; 329 increased, 337 decreased in</w:t>
      </w:r>
      <w:r>
        <w:t xml:space="preserve"> </w:t>
      </w:r>
      <w:r>
        <w:t xml:space="preserve">tumor), which was mapped to 458 multi-source candidate drugs across four resources (DGIdb, ChEMBL,</w:t>
      </w:r>
      <w:r>
        <w:t xml:space="preserve"> </w:t>
      </w:r>
      <w:r>
        <w:t xml:space="preserve">Open Targets, L2S2). Targets were placed in a tumor protein–protein interaction (PPI) network</w:t>
      </w:r>
      <w:r>
        <w:t xml:space="preserve"> </w:t>
      </w:r>
      <w:r>
        <w:t xml:space="preserve">(STRING), partitioned into Louvain modules, and each candidate was scored by a two-factor composite</w:t>
      </w:r>
      <w:r>
        <w:t xml:space="preserve"> </w:t>
      </w:r>
      <w:r>
        <w:t xml:space="preserve">(0.60·TargetPriority + 0.40·DrugViability) that anchors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 cohorts</w:t>
      </w:r>
      <w:r>
        <w:t xml:space="preserve"> </w:t>
      </w:r>
      <w:r>
        <w:t xml:space="preserve">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 [@huang2021];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6"/>
    <w:bookmarkStart w:id="47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2026-06-24T22:36:20Z</dcterms:created>
  <dcterms:modified xsi:type="dcterms:W3CDTF">2026-06-24T22:36:20Z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