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7df104631777e44d6eb0fc0c46edb5233ca053f"/>
    <w:p>
      <w:pPr>
        <w:pStyle w:val="Heading1"/>
      </w:pPr>
      <w:r>
        <w:t xml:space="preserve">Network-anchored proteomic drug repurposing in HNSCC (working draft, preview)</w:t>
      </w:r>
    </w:p>
    <w:p>
      <w:pPr>
        <w:pStyle w:val="FirstParagraph"/>
      </w:pPr>
      <w:r>
        <w:t xml:space="preserve">Partial preview for pipeline testing: Introduction, Methods and Results only. Discussion, Abstract, Title and complete Methods/Results citations are pending (WRITING_PLAN.md steps 5–8). Citations shown are PubMed-verified; the bibliography is generated automatically by pandoc.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Head and neck squamous cell carcinoma (HNSCC) is among the leading causes of cancer morbidity and</w:t>
      </w:r>
      <w:r>
        <w:t xml:space="preserve"> </w:t>
      </w:r>
      <w:r>
        <w:t xml:space="preserve">mortality worldwide, and overall survival remains limited, particularly in locally advanced and</w:t>
      </w:r>
      <w:r>
        <w:t xml:space="preserve"> </w:t>
      </w:r>
      <w:r>
        <w:t xml:space="preserve">recurrent disease. [@johnson2020; @sung2021] Despite advances across surgery,</w:t>
      </w:r>
      <w:r>
        <w:t xml:space="preserve"> </w:t>
      </w:r>
      <w:r>
        <w:t xml:space="preserve">radiotherapy, chemotherapy, and immunotherapy, clinical outcomes are still suboptimal,</w:t>
      </w:r>
      <w:r>
        <w:t xml:space="preserve"> </w:t>
      </w:r>
      <w:r>
        <w:t xml:space="preserve">reflecting the biological complexity of the disease. [@johnson2020]</w:t>
      </w:r>
    </w:p>
    <w:p>
      <w:pPr>
        <w:pStyle w:val="BodyText"/>
      </w:pPr>
      <w:r>
        <w:t xml:space="preserve">Over the past decade, management has shifted with the introduction of immune-checkpoint</w:t>
      </w:r>
      <w:r>
        <w:t xml:space="preserve"> </w:t>
      </w:r>
      <w:r>
        <w:t xml:space="preserve">inhibitors. The phase 3 KEYNOTE-048 trial established pembrolizumab (as monotherapy in</w:t>
      </w:r>
      <w:r>
        <w:t xml:space="preserve"> </w:t>
      </w:r>
      <w:r>
        <w:t xml:space="preserve">PD-L1-positive patients or combined with platinum/5-fluorouracil) as the first-line standard for</w:t>
      </w:r>
      <w:r>
        <w:t xml:space="preserve"> </w:t>
      </w:r>
      <w:r>
        <w:t xml:space="preserve">recurrent or metastatic disease, with patient selection guided by the combined positive score</w:t>
      </w:r>
      <w:r>
        <w:t xml:space="preserve"> </w:t>
      </w:r>
      <w:r>
        <w:t xml:space="preserve">(CPS). [@burtness2019] More recently, KEYNOTE-689 reported that perioperative</w:t>
      </w:r>
      <w:r>
        <w:t xml:space="preserve"> </w:t>
      </w:r>
      <w:r>
        <w:t xml:space="preserve">pembrolizumab added to standard of care significantly improves event-free survival in</w:t>
      </w:r>
      <w:r>
        <w:t xml:space="preserve"> </w:t>
      </w:r>
      <w:r>
        <w:t xml:space="preserve">locally advanced, resectable disease, a setting where progress had been comparatively slow.</w:t>
      </w:r>
      <w:r>
        <w:t xml:space="preserve"> </w:t>
      </w:r>
      <w:r>
        <w:t xml:space="preserve">[@imamura2025] These milestones underscore the need to identify new molecular</w:t>
      </w:r>
      <w:r>
        <w:t xml:space="preserve"> </w:t>
      </w:r>
      <w:r>
        <w:t xml:space="preserve">signatures and therapeutic targets to optimize systemic and perioperative strategies.</w:t>
      </w:r>
    </w:p>
    <w:p>
      <w:pPr>
        <w:pStyle w:val="BodyText"/>
      </w:pPr>
      <w:r>
        <w:t xml:space="preserve">A central challenge in HNSCC is its molecular heterogeneity. The distinction between</w:t>
      </w:r>
      <w:r>
        <w:t xml:space="preserve"> </w:t>
      </w:r>
      <w:r>
        <w:t xml:space="preserve">human-papillomavirus (HPV)-associated tumours and those linked to tobacco and alcohol has defined</w:t>
      </w:r>
      <w:r>
        <w:t xml:space="preserve"> </w:t>
      </w:r>
      <w:r>
        <w:t xml:space="preserve">subgroups with substantial prognostic and biological differences, yet this stratification remains</w:t>
      </w:r>
      <w:r>
        <w:t xml:space="preserve"> </w:t>
      </w:r>
      <w:r>
        <w:t xml:space="preserve">insufficient to capture the functional complexity of the tumour. [@ang2010]</w:t>
      </w:r>
      <w:r>
        <w:t xml:space="preserve"> </w:t>
      </w:r>
      <w:r>
        <w:t xml:space="preserve">In this context, proteomics provides a direct readout of the functional tumour phenotype:</w:t>
      </w:r>
      <w:r>
        <w:t xml:space="preserve"> </w:t>
      </w:r>
      <w:r>
        <w:t xml:space="preserve">unlike genomic or transcriptomic profiles, the proteome reflects cellular activity integrating</w:t>
      </w:r>
      <w:r>
        <w:t xml:space="preserve"> </w:t>
      </w:r>
      <w:r>
        <w:t xml:space="preserve">post-transcriptional and post-translational regulation. [@huang2021]</w:t>
      </w:r>
      <w:r>
        <w:t xml:space="preserve"> </w:t>
      </w:r>
      <w:r>
        <w:t xml:space="preserve">Proteomic studies have implicated EGFR signalling, energy metabolism, epigenetic regulation, and</w:t>
      </w:r>
      <w:r>
        <w:t xml:space="preserve"> </w:t>
      </w:r>
      <w:r>
        <w:t xml:space="preserve">the tumour microenvironment as recurrently altered programmes in HNSCC. [@huang2021]</w:t>
      </w:r>
    </w:p>
    <w:p>
      <w:pPr>
        <w:pStyle w:val="BodyText"/>
      </w:pPr>
      <w:r>
        <w:t xml:space="preserve">Drug repurposing (redeploying approved compounds with established safety profiles) is an</w:t>
      </w:r>
      <w:r>
        <w:t xml:space="preserve"> </w:t>
      </w:r>
      <w:r>
        <w:t xml:space="preserve">efficient route to accelerate the identification of new therapeutic options, and integrating</w:t>
      </w:r>
      <w:r>
        <w:t xml:space="preserve"> </w:t>
      </w:r>
      <w:r>
        <w:t xml:space="preserve">tumour molecular signatures with pharmacological-connectivity resources can nominate agents</w:t>
      </w:r>
      <w:r>
        <w:t xml:space="preserve"> </w:t>
      </w:r>
      <w:r>
        <w:t xml:space="preserve">predicted to reverse a disease state. [@pushpakom2019] For such a</w:t>
      </w:r>
      <w:r>
        <w:t xml:space="preserve"> </w:t>
      </w:r>
      <w:r>
        <w:t xml:space="preserve">candidate list to be useful to a translational reader, however, it would ideally be both</w:t>
      </w:r>
      <w:r>
        <w:t xml:space="preserve"> </w:t>
      </w:r>
      <w:r>
        <w:t xml:space="preserve">credible (distinguishing targets that occupy a central position in the tumour’s molecular</w:t>
      </w:r>
      <w:r>
        <w:t xml:space="preserve"> </w:t>
      </w:r>
      <w:r>
        <w:t xml:space="preserve">network from those that are merely strongly altered) and actionable, accounting for whether the</w:t>
      </w:r>
      <w:r>
        <w:t xml:space="preserve"> </w:t>
      </w:r>
      <w:r>
        <w:t xml:space="preserve">nominating drug is realistically deployable (approval status, regulatory class, evidence of</w:t>
      </w:r>
      <w:r>
        <w:t xml:space="preserve"> </w:t>
      </w:r>
      <w:r>
        <w:t xml:space="preserve">transcriptomic reversal) and whether its target directionality holds beyond a single cohort.</w:t>
      </w:r>
      <w:r>
        <w:t xml:space="preserve"> </w:t>
      </w:r>
      <w:r>
        <w:t xml:space="preserve">(Any comparative claim regarding existing pipelines is kept tentative pending citation.)</w:t>
      </w:r>
    </w:p>
    <w:p>
      <w:pPr>
        <w:pStyle w:val="BodyText"/>
      </w:pPr>
      <w:r>
        <w:t xml:space="preserve">Here we address this by integrating quantitative proteomics of paired HNSCC tumours with</w:t>
      </w:r>
      <w:r>
        <w:t xml:space="preserve"> </w:t>
      </w:r>
      <w:r>
        <w:t xml:space="preserve">multi-source pharmacological evidence and protein–protein interaction network structure to derive</w:t>
      </w:r>
      <w:r>
        <w:t xml:space="preserve"> </w:t>
      </w:r>
      <w:r>
        <w:t xml:space="preserve">a credible, mechanistically organized shortlist of repurposing candidates. Candidates are</w:t>
      </w:r>
      <w:r>
        <w:t xml:space="preserve"> </w:t>
      </w:r>
      <w:r>
        <w:t xml:space="preserve">prioritized not by fold-change magnitude alone but by the biological position of their target in</w:t>
      </w:r>
      <w:r>
        <w:t xml:space="preserve"> </w:t>
      </w:r>
      <w:r>
        <w:t xml:space="preserve">the tumour network together with the deployability of the drug, and the resulting ranking is</w:t>
      </w:r>
      <w:r>
        <w:t xml:space="preserve"> </w:t>
      </w:r>
      <w:r>
        <w:t xml:space="preserve">evaluated against a built-in internal control (recovery of the EGFR axis, the principal target</w:t>
      </w:r>
      <w:r>
        <w:t xml:space="preserve"> </w:t>
      </w:r>
      <w:r>
        <w:t xml:space="preserve">with established approved therapy in HNSCC) and corroborated for target directionality in two</w:t>
      </w:r>
      <w:r>
        <w:t xml:space="preserve"> </w:t>
      </w:r>
      <w:r>
        <w:t xml:space="preserve">independent cohorts (a CPTAC proteome and a TCGA transcriptome). The aim is therefore not only to</w:t>
      </w:r>
      <w:r>
        <w:t xml:space="preserve"> </w:t>
      </w:r>
      <w:r>
        <w:t xml:space="preserve">recover validated targets but also to surface novel, mechanistically interpretable vulnerabilities</w:t>
      </w:r>
      <w:r>
        <w:t xml:space="preserve"> </w:t>
      </w:r>
      <w:r>
        <w:t xml:space="preserve">with immediate translational potential.</w:t>
      </w:r>
    </w:p>
    <w:bookmarkEnd w:id="9"/>
    <w:bookmarkStart w:id="18" w:name="methods"/>
    <w:p>
      <w:pPr>
        <w:pStyle w:val="Heading2"/>
      </w:pPr>
      <w:r>
        <w:t xml:space="preserve">Methods</w:t>
      </w:r>
    </w:p>
    <w:bookmarkStart w:id="10" w:name="X507864d58becb81b3eabdd876d38b9b6f4db955"/>
    <w:p>
      <w:pPr>
        <w:pStyle w:val="Heading3"/>
      </w:pPr>
      <w:r>
        <w:t xml:space="preserve">Proteomic data and differential abundance</w:t>
      </w:r>
    </w:p>
    <w:p>
      <w:pPr>
        <w:pStyle w:val="FirstParagraph"/>
      </w:pPr>
      <w:r>
        <w:t xml:space="preserve">Data-independent acquisition (DIA) proteomics was performed on ten paired tumour and</w:t>
      </w:r>
      <w:r>
        <w:t xml:space="preserve"> </w:t>
      </w:r>
      <w:r>
        <w:t xml:space="preserve">adjacent-normal specimens from patients with head and neck squamous cell carcinoma (HNSCC; n = 20</w:t>
      </w:r>
      <w:r>
        <w:t xml:space="preserve"> </w:t>
      </w:r>
      <w:r>
        <w:t xml:space="preserve">samples; six HPV-positive and four HPV-negative pairs). Spectra were processed with MaxQuant, and</w:t>
      </w:r>
      <w:r>
        <w:t xml:space="preserve"> </w:t>
      </w:r>
      <w:r>
        <w:t xml:space="preserve">differential abundance was assessed with proteoDA [@ritchie2015], a limma wrapper, for the primary tumour-versus-</w:t>
      </w:r>
      <w:r>
        <w:t xml:space="preserve"> </w:t>
      </w:r>
      <w:r>
        <w:t xml:space="preserve">adjacent-normal contrast (averaging over HPV status). Proteins were considered differentially</w:t>
      </w:r>
      <w:r>
        <w:t xml:space="preserve"> </w:t>
      </w:r>
      <w:r>
        <w:t xml:space="preserve">abundant at |log₂FC| &gt; 1 and Benjamini–Hochberg-adjusted P &lt; 0.05. UniProt accessions were mapped</w:t>
      </w:r>
      <w:r>
        <w:t xml:space="preserve"> </w:t>
      </w:r>
      <w:r>
        <w:t xml:space="preserve">to Entrez gene identifiers and HGNC symbols with</w:t>
      </w:r>
      <w:r>
        <w:t xml:space="preserve"> </w:t>
      </w:r>
      <w:r>
        <w:rPr>
          <w:rStyle w:val="VerbatimChar"/>
        </w:rPr>
        <w:t xml:space="preserve">org.Hs.eg.db</w:t>
      </w:r>
      <w:r>
        <w:t xml:space="preserve"> </w:t>
      </w:r>
      <w:r>
        <w:t xml:space="preserve">(clusterProfiler [@wu2021]</w:t>
      </w:r>
      <w:r>
        <w:t xml:space="preserve"> </w:t>
      </w:r>
      <w:r>
        <w:rPr>
          <w:rStyle w:val="VerbatimChar"/>
        </w:rPr>
        <w:t xml:space="preserve">bitr</w:t>
      </w:r>
      <w:r>
        <w:t xml:space="preserve">).</w:t>
      </w:r>
    </w:p>
    <w:bookmarkEnd w:id="10"/>
    <w:bookmarkStart w:id="11" w:name="functional-enrichment"/>
    <w:p>
      <w:pPr>
        <w:pStyle w:val="Heading3"/>
      </w:pPr>
      <w:r>
        <w:t xml:space="preserve">Functional enrichment</w:t>
      </w:r>
    </w:p>
    <w:p>
      <w:pPr>
        <w:pStyle w:val="FirstParagraph"/>
      </w:pPr>
      <w:r>
        <w:t xml:space="preserve">Gene-set enrichment analysis (GSEA) [@subramanian2005] was performed with clusterProfiler (v4.14.6), ranking proteins</w:t>
      </w:r>
      <w:r>
        <w:t xml:space="preserve"> </w:t>
      </w:r>
      <w:r>
        <w:t xml:space="preserve">by a π-statistic [sign(log₂FC) × |log₂FC| × −log₁₀(adjusted P)] against the MSigDB Hallmark [@liberzon2015], Gene</w:t>
      </w:r>
      <w:r>
        <w:t xml:space="preserve"> </w:t>
      </w:r>
      <w:r>
        <w:t xml:space="preserve">Ontology Biological Process, KEGG, and Reactome collections (minGSSize = 10, maxGSSize = 500,</w:t>
      </w:r>
      <w:r>
        <w:t xml:space="preserve"> </w:t>
      </w:r>
      <w:r>
        <w:t xml:space="preserve">adjusted P &lt; 0.05; fixed seed for reproducible permutations). The Hallmark result is shown in</w:t>
      </w:r>
      <w:r>
        <w:t xml:space="preserve"> </w:t>
      </w:r>
      <w:r>
        <w:t xml:space="preserve">Figure 2C.</w:t>
      </w:r>
    </w:p>
    <w:bookmarkEnd w:id="11"/>
    <w:bookmarkStart w:id="12" w:name="drugtarget-mapping-and-integration"/>
    <w:p>
      <w:pPr>
        <w:pStyle w:val="Heading3"/>
      </w:pPr>
      <w:r>
        <w:t xml:space="preserve">Drug–target mapping and integration</w:t>
      </w:r>
    </w:p>
    <w:p>
      <w:pPr>
        <w:pStyle w:val="FirstParagraph"/>
      </w:pPr>
      <w:r>
        <w:t xml:space="preserve">Differentially abundant genes were queried against four pharmacological resources: DGIdb [@freshour2021] (GraphQL</w:t>
      </w:r>
      <w:r>
        <w:t xml:space="preserve"> </w:t>
      </w:r>
      <w:r>
        <w:t xml:space="preserve">API v5), ChEMBL [@mendez2019] (REST API v33, clinical phase ≥ 3), Open Targets [@ochoa2021] (GraphQL API; HNSCC association</w:t>
      </w:r>
      <w:r>
        <w:t xml:space="preserve"> </w:t>
      </w:r>
      <w:r>
        <w:t xml:space="preserve">EFO_0000181 and known drugs), and L2S2 [@evangelista2025] (LINCS L1000 Signature Search; bidirectional enrichment of</w:t>
      </w:r>
      <w:r>
        <w:t xml:space="preserve"> </w:t>
      </w:r>
      <w:r>
        <w:t xml:space="preserve">the top-150 up-regulated proteins against drug down-signatures and vice versa, FDA-approved filter,</w:t>
      </w:r>
      <w:r>
        <w:t xml:space="preserve"> </w:t>
      </w:r>
      <w:r>
        <w:t xml:space="preserve">P &lt; 0.001; reversal score normalized to [−1, 0]). Sources were unified and each drug assigned an</w:t>
      </w:r>
      <w:r>
        <w:t xml:space="preserve"> </w:t>
      </w:r>
      <w:r>
        <w:t xml:space="preserve">ordinal regulatory class encoding regulatory maturity (not pharmacological equivalence): A =</w:t>
      </w:r>
      <w:r>
        <w:t xml:space="preserve"> </w:t>
      </w:r>
      <w:r>
        <w:t xml:space="preserve">approved with HNSCC evidence, B = approved in another cancer, C = approved</w:t>
      </w:r>
      <w:r>
        <w:t xml:space="preserve"> </w:t>
      </w:r>
      <w:r>
        <w:t xml:space="preserve">non-oncological, D = experimental (ordinal scores 1.00/0.75/0.50/0.25). Automated indication</w:t>
      </w:r>
      <w:r>
        <w:t xml:space="preserve"> </w:t>
      </w:r>
      <w:r>
        <w:t xml:space="preserve">matching was manually corrected for known mismatches: three agents were reassigned to class A</w:t>
      </w:r>
      <w:r>
        <w:t xml:space="preserve"> </w:t>
      </w:r>
      <w:r>
        <w:t xml:space="preserve">(cetuximab, pembrolizumab, nivolumab: approved in HNSCC but missed by EFO matching), two from C to</w:t>
      </w:r>
      <w:r>
        <w:t xml:space="preserve"> </w:t>
      </w:r>
      <w:r>
        <w:t xml:space="preserve">B (neratinib, lazertinib), and two from B to C (digoxin, digitoxin: cardiac glycosides with</w:t>
      </w:r>
      <w:r>
        <w:t xml:space="preserve"> </w:t>
      </w:r>
      <w:r>
        <w:t xml:space="preserve">oncology trials but no oncological approval); all overrides are documented in the analysis code.</w:t>
      </w:r>
      <w:r>
        <w:t xml:space="preserve"> </w:t>
      </w:r>
      <w:r>
        <w:t xml:space="preserve">The candidate set entering prioritization (n = 458) comprised drugs supported by ≥ 2 databases or</w:t>
      </w:r>
      <w:r>
        <w:t xml:space="preserve"> </w:t>
      </w:r>
      <w:r>
        <w:t xml:space="preserve">already approved (class A/B retained even if single-source), after removal of a curated exclusion</w:t>
      </w:r>
      <w:r>
        <w:t xml:space="preserve"> </w:t>
      </w:r>
      <w:r>
        <w:t xml:space="preserve">list.</w:t>
      </w:r>
    </w:p>
    <w:bookmarkEnd w:id="12"/>
    <w:bookmarkStart w:id="13" w:name="proteinprotein-interaction-network"/>
    <w:p>
      <w:pPr>
        <w:pStyle w:val="Heading3"/>
      </w:pPr>
      <w:r>
        <w:t xml:space="preserve">Protein–protein interaction network</w:t>
      </w:r>
    </w:p>
    <w:p>
      <w:pPr>
        <w:pStyle w:val="FirstParagraph"/>
      </w:pPr>
      <w:r>
        <w:t xml:space="preserve">A high-confidence interaction network was built from the differentially abundant proteins using</w:t>
      </w:r>
      <w:r>
        <w:t xml:space="preserve"> </w:t>
      </w:r>
      <w:r>
        <w:t xml:space="preserve">STRING [@szklarczyk2023] v12 (combined score ≥ 700). Its giant component (521 proteins, 2,714 interactions) was</w:t>
      </w:r>
      <w:r>
        <w:t xml:space="preserve"> </w:t>
      </w:r>
      <w:r>
        <w:t xml:space="preserve">characterized by degree, betweenness, and eigenvector centrality (igraph v2.2.2); hubs were defined</w:t>
      </w:r>
      <w:r>
        <w:t xml:space="preserve"> </w:t>
      </w:r>
      <w:r>
        <w:t xml:space="preserve">as the top decile by degree. Louvain community detection partitioned the giant component into 13</w:t>
      </w:r>
      <w:r>
        <w:t xml:space="preserve"> </w:t>
      </w:r>
      <w:r>
        <w:t xml:space="preserve">modules, each named by its top-enriched GO Biological Process term. Druggable hubs (n = 99) were</w:t>
      </w:r>
      <w:r>
        <w:t xml:space="preserve"> </w:t>
      </w:r>
      <w:r>
        <w:t xml:space="preserve">hubs intersecting the drug-target set; module drugability tier was assigned data-driven (containing</w:t>
      </w:r>
      <w:r>
        <w:t xml:space="preserve"> </w:t>
      </w:r>
      <w:r>
        <w:t xml:space="preserve">an approved-drug target; druggable hubs only; or below threshold). Grey/below-threshold modules</w:t>
      </w:r>
      <w:r>
        <w:t xml:space="preserve"> </w:t>
      </w:r>
      <w:r>
        <w:t xml:space="preserve">still contained druggable hubs (36 of 99) and prioritized targets (e.g., DNMT1).</w:t>
      </w:r>
    </w:p>
    <w:bookmarkEnd w:id="13"/>
    <w:bookmarkStart w:id="14" w:name="X7ce957a7690d2b853bda9e15015edb572eafc2c"/>
    <w:p>
      <w:pPr>
        <w:pStyle w:val="Heading3"/>
      </w:pPr>
      <w:r>
        <w:t xml:space="preserve">Network-anchored two-factor prioritization</w:t>
      </w:r>
    </w:p>
    <w:p>
      <w:pPr>
        <w:pStyle w:val="FirstParagraph"/>
      </w:pPr>
      <w:r>
        <w:t xml:space="preserve">Each candidate was scored with a composite that anchors prioritization in network structure</w:t>
      </w:r>
      <w:r>
        <w:t xml:space="preserve"> </w:t>
      </w:r>
      <w:r>
        <w:t xml:space="preserve">(network → module → druggable hub → drug):</w:t>
      </w:r>
    </w:p>
    <w:p>
      <w:pPr>
        <w:pStyle w:val="BodyText"/>
      </w:pPr>
      <w:r>
        <w:rPr>
          <w:rStyle w:val="VerbatimChar"/>
        </w:rPr>
        <w:t xml:space="preserve">composite = 0.60 · TargetPriority + 0.40 · DrugViability</w:t>
      </w:r>
    </w:p>
    <w:p>
      <w:pPr>
        <w:pStyle w:val="BodyText"/>
      </w:pPr>
      <w:r>
        <w:t xml:space="preserve">TargetPriority (target-level) = 0.55 · network centrality (mean of min–max-normalized degree,</w:t>
      </w:r>
      <w:r>
        <w:t xml:space="preserve"> </w:t>
      </w:r>
      <w:r>
        <w:t xml:space="preserve">betweenness, eigenvector) + 0.45 · directional differential abundance (π = sign(log₂FC)·|log₂FC|·</w:t>
      </w:r>
      <w:r>
        <w:t xml:space="preserve"> </w:t>
      </w:r>
      <w:r>
        <w:t xml:space="preserve">−log₁₀FDR, direction-aware min–max). This π term is signed and rewards inhibition of over-abundant</w:t>
      </w:r>
      <w:r>
        <w:t xml:space="preserve"> </w:t>
      </w:r>
      <w:r>
        <w:t xml:space="preserve">targets; consequently, under-abundant targets (including potential loss-of-function/tumour-</w:t>
      </w:r>
      <w:r>
        <w:t xml:space="preserve"> </w:t>
      </w:r>
      <w:r>
        <w:t xml:space="preserve">suppressor nodes) are structurally down-weighted by this term, and metabolic targets such as</w:t>
      </w:r>
      <w:r>
        <w:t xml:space="preserve"> </w:t>
      </w:r>
      <w:r>
        <w:t xml:space="preserve">Complex I subunits are prioritized through direction-independent centrality and external evidence</w:t>
      </w:r>
      <w:r>
        <w:t xml:space="preserve"> </w:t>
      </w:r>
      <w:r>
        <w:t xml:space="preserve">rather than through π. DrugViability (drug-level; breaks ties among drugs sharing a target) =</w:t>
      </w:r>
      <w:r>
        <w:t xml:space="preserve"> </w:t>
      </w:r>
      <w:r>
        <w:t xml:space="preserve">0.40 · L2S2 transcriptomic reversal + 0.40 · regulatory class + 0.20 · evidence breadth (databases</w:t>
      </w:r>
      <w:r>
        <w:t xml:space="preserve"> </w:t>
      </w:r>
      <w:r>
        <w:t xml:space="preserve">/ 4). Each drug was attributed to its most-central credible target, where a drug→target edge is</w:t>
      </w:r>
      <w:r>
        <w:t xml:space="preserve"> </w:t>
      </w:r>
      <w:r>
        <w:t xml:space="preserve">credible only if curated by ChEMBL or Open Targets (DGIdb-only edges were excluded as attribution</w:t>
      </w:r>
      <w:r>
        <w:t xml:space="preserve"> </w:t>
      </w:r>
      <w:r>
        <w:t xml:space="preserve">anchors because DGIdb interaction scores are promiscuous and do not reliably reflect mechanism of</w:t>
      </w:r>
      <w:r>
        <w:t xml:space="preserve"> </w:t>
      </w:r>
      <w:r>
        <w:t xml:space="preserve">action). A target that is a network hub defines the hub-central tier; a credible non-hub target the</w:t>
      </w:r>
      <w:r>
        <w:t xml:space="preserve"> </w:t>
      </w:r>
      <w:r>
        <w:t xml:space="preserve">peripheral-differential tier. Anchor genes lacking antitumoral plausibility or reflecting sample</w:t>
      </w:r>
      <w:r>
        <w:t xml:space="preserve"> </w:t>
      </w:r>
      <w:r>
        <w:t xml:space="preserve">contamination were excluded via a curated configuration list. The composite is strongly correlated</w:t>
      </w:r>
      <w:r>
        <w:t xml:space="preserve"> </w:t>
      </w:r>
      <w:r>
        <w:t xml:space="preserve">with network centrality alone (Spearman ρ ≈ 0.78); network topology is the dominant driver by</w:t>
      </w:r>
      <w:r>
        <w:t xml:space="preserve"> </w:t>
      </w:r>
      <w:r>
        <w:t xml:space="preserve">design, with DrugViability acting primarily as a clinical/pharmacological tie-breaker among agents</w:t>
      </w:r>
      <w:r>
        <w:t xml:space="preserve"> </w:t>
      </w:r>
      <w:r>
        <w:t xml:space="preserve">sharing a target.</w:t>
      </w:r>
    </w:p>
    <w:bookmarkEnd w:id="14"/>
    <w:bookmarkStart w:id="15" w:name="robustness"/>
    <w:p>
      <w:pPr>
        <w:pStyle w:val="Heading3"/>
      </w:pPr>
      <w:r>
        <w:t xml:space="preserve">Robustness</w:t>
      </w:r>
    </w:p>
    <w:p>
      <w:pPr>
        <w:pStyle w:val="FirstParagraph"/>
      </w:pPr>
      <w:r>
        <w:t xml:space="preserve">Ranking stability was assessed by weight-perturbation sensitivity (six configurations varying the</w:t>
      </w:r>
      <w:r>
        <w:t xml:space="preserve"> </w:t>
      </w:r>
      <w:r>
        <w:t xml:space="preserve">target/drug balance and the sub-weights) and by leave-one-database (LOD) stability. No permutation</w:t>
      </w:r>
      <w:r>
        <w:t xml:space="preserve"> </w:t>
      </w:r>
      <w:r>
        <w:t xml:space="preserve">null was used: for an evidence-aggregation prioritization score (rather than a de novo discovery</w:t>
      </w:r>
      <w:r>
        <w:t xml:space="preserve"> </w:t>
      </w:r>
      <w:r>
        <w:t xml:space="preserve">statistic), validity rests on positive-control recovery (approved EGFR-axis agents), robustness to</w:t>
      </w:r>
      <w:r>
        <w:t xml:space="preserve"> </w:t>
      </w:r>
      <w:r>
        <w:t xml:space="preserve">weighting/database choices, and external corroboration, not on a permutation P-value.</w:t>
      </w:r>
    </w:p>
    <w:bookmarkEnd w:id="15"/>
    <w:bookmarkStart w:id="16" w:name="X64b44461957c12521484b842e13a272e3266eb7"/>
    <w:p>
      <w:pPr>
        <w:pStyle w:val="Heading3"/>
      </w:pPr>
      <w:r>
        <w:t xml:space="preserve">External corroboration in two independent cohorts</w:t>
      </w:r>
    </w:p>
    <w:p>
      <w:pPr>
        <w:pStyle w:val="FirstParagraph"/>
      </w:pPr>
      <w:r>
        <w:t xml:space="preserve">Target directionality was corroborated, not tested for efficacy or rank order, in two independent</w:t>
      </w:r>
      <w:r>
        <w:t xml:space="preserve"> </w:t>
      </w:r>
      <w:r>
        <w:t xml:space="preserve">cohorts. The CPTAC-HNSCC TMT proteome (Huang et al., 2021 [@huang2021]) was retrieved with the</w:t>
      </w:r>
      <w:r>
        <w:t xml:space="preserve"> </w:t>
      </w:r>
      <w:r>
        <w:rPr>
          <w:rStyle w:val="VerbatimChar"/>
        </w:rPr>
        <w:t xml:space="preserve">cptac</w:t>
      </w:r>
      <w:r>
        <w:t xml:space="preserve"> </w:t>
      </w:r>
      <w:r>
        <w:t xml:space="preserve">Python</w:t>
      </w:r>
      <w:r>
        <w:t xml:space="preserve"> </w:t>
      </w:r>
      <w:r>
        <w:t xml:space="preserve">package and analysed by the same method as discovery (paired limma with duplicateCorrelation</w:t>
      </w:r>
      <w:r>
        <w:t xml:space="preserve"> </w:t>
      </w:r>
      <w:r>
        <w:t xml:space="preserve">blocking on patient; 116 tumour / 66 normal, 66 pairs); CPTAC log₂FC correlated with the DIA log₂FC</w:t>
      </w:r>
      <w:r>
        <w:t xml:space="preserve"> </w:t>
      </w:r>
      <w:r>
        <w:t xml:space="preserve">across 636 shared genes (Pearson r = 0.789, P = 4.9 × 10⁻¹³⁶; 86.3% directional concordance). The</w:t>
      </w:r>
      <w:r>
        <w:t xml:space="preserve"> </w:t>
      </w:r>
      <w:r>
        <w:t xml:space="preserve">TCGA-HNSC transcriptome (STAR-Counts via TCGAbiolinks; 520 tumour / 44 normal) was analysed with</w:t>
      </w:r>
      <w:r>
        <w:t xml:space="preserve"> </w:t>
      </w:r>
      <w:r>
        <w:t xml:space="preserve">DESeq2 (v1.44); TCGA log₂FC correlated with the DIA log₂FC across 663 shared genes (r = 0.601,</w:t>
      </w:r>
      <w:r>
        <w:t xml:space="preserve"> </w:t>
      </w:r>
      <w:r>
        <w:t xml:space="preserve">P = 2.7 × 10⁻⁶⁶; 76.2% concordance). For the 14 shortlist anchor targets, per-gene log₂FC and</w:t>
      </w:r>
      <w:r>
        <w:t xml:space="preserve"> </w:t>
      </w:r>
      <w:r>
        <w:t xml:space="preserve">adjusted P were compared against the DIA proteome in both cohorts (concordance and FDR &lt; 0.05</w:t>
      </w:r>
      <w:r>
        <w:t xml:space="preserve"> </w:t>
      </w:r>
      <w:r>
        <w:t xml:space="preserve">annotated per target). As a supplementary analysis, overall survival was stratified by median</w:t>
      </w:r>
      <w:r>
        <w:t xml:space="preserve"> </w:t>
      </w:r>
      <w:r>
        <w:t xml:space="preserve">expression of four module-representative genes (EGFR, PSMB10, DNMT1, NDUFS3) in TCGA-HNSC (476</w:t>
      </w:r>
      <w:r>
        <w:t xml:space="preserve"> </w:t>
      </w:r>
      <w:r>
        <w:t xml:space="preserve">patients with survival data, log-rank); all comparisons were non-significant (P = 0.098–0.422),</w:t>
      </w:r>
      <w:r>
        <w:t xml:space="preserve"> </w:t>
      </w:r>
      <w:r>
        <w:t xml:space="preserve">consistent with these targets being therapeutic vulnerabilities rather than prognostic biomarkers.</w:t>
      </w:r>
    </w:p>
    <w:bookmarkEnd w:id="16"/>
    <w:bookmarkStart w:id="17" w:name="software-and-reproducibility"/>
    <w:p>
      <w:pPr>
        <w:pStyle w:val="Heading3"/>
      </w:pPr>
      <w:r>
        <w:t xml:space="preserve">Software and reproducibility</w:t>
      </w:r>
    </w:p>
    <w:p>
      <w:pPr>
        <w:pStyle w:val="FirstParagraph"/>
      </w:pPr>
      <w:r>
        <w:t xml:space="preserve">Analyses used R 4.4.3 (limma v3.62.2, clusterProfiler v4.14.6, ReactomePA v1.50.0, igraph v2.2.2,</w:t>
      </w:r>
      <w:r>
        <w:t xml:space="preserve"> </w:t>
      </w:r>
      <w:r>
        <w:t xml:space="preserve">ggraph v2.2.2, ComplexHeatmap v2.22.0, DESeq2 v1.44) and Python 3 (requests, pandas, numpy,</w:t>
      </w:r>
      <w:r>
        <w:t xml:space="preserve"> </w:t>
      </w:r>
      <w:r>
        <w:t xml:space="preserve">matplotlib;</w:t>
      </w:r>
      <w:r>
        <w:t xml:space="preserve"> </w:t>
      </w:r>
      <w:r>
        <w:rPr>
          <w:rStyle w:val="VerbatimChar"/>
        </w:rPr>
        <w:t xml:space="preserve">cptac</w:t>
      </w:r>
      <w:r>
        <w:t xml:space="preserve">). External resources: DGIdb v5, ChEMBL v33, Open Targets, L2S2 LINCS L1000</w:t>
      </w:r>
      <w:r>
        <w:t xml:space="preserve"> </w:t>
      </w:r>
      <w:r>
        <w:t xml:space="preserve">(Evangelista et al., 2025), STRING v12, and MSigDB Hallmark. Analysis parameters are version-</w:t>
      </w:r>
      <w:r>
        <w:t xml:space="preserve"> </w:t>
      </w:r>
      <w:r>
        <w:t xml:space="preserve">controlled in</w:t>
      </w:r>
      <w:r>
        <w:t xml:space="preserve"> </w:t>
      </w:r>
      <w:r>
        <w:rPr>
          <w:rStyle w:val="VerbatimChar"/>
        </w:rPr>
        <w:t xml:space="preserve">config/analysis_params.yaml</w:t>
      </w:r>
      <w:r>
        <w:t xml:space="preserve">, figure styling is centralized, and the execution order</w:t>
      </w:r>
      <w:r>
        <w:t xml:space="preserve"> </w:t>
      </w:r>
      <w:r>
        <w:t xml:space="preserve">is documented in the project runbook.</w:t>
      </w:r>
    </w:p>
    <w:bookmarkEnd w:id="17"/>
    <w:bookmarkEnd w:id="18"/>
    <w:bookmarkStart w:id="25" w:name="results"/>
    <w:p>
      <w:pPr>
        <w:pStyle w:val="Heading2"/>
      </w:pPr>
      <w:r>
        <w:t xml:space="preserve">Results</w:t>
      </w:r>
    </w:p>
    <w:bookmarkStart w:id="19" w:name="Xc9138fdc36493c81ee1bfb7d0eea8ffe3deab31"/>
    <w:p>
      <w:pPr>
        <w:pStyle w:val="Heading3"/>
      </w:pPr>
      <w:r>
        <w:t xml:space="preserve">The HNSCC tumour proteome is broadly and coherently remodelled</w:t>
      </w:r>
    </w:p>
    <w:p>
      <w:pPr>
        <w:pStyle w:val="FirstParagraph"/>
      </w:pPr>
      <w:r>
        <w:t xml:space="preserve">Data-independent acquisition proteomics of ten paired tumour and adjacent-normal specimens</w:t>
      </w:r>
      <w:r>
        <w:t xml:space="preserve"> </w:t>
      </w:r>
      <w:r>
        <w:t xml:space="preserve">quantified 3,352 proteins, all mapped to Entrez gene identifiers. A paired differential-abundance</w:t>
      </w:r>
      <w:r>
        <w:t xml:space="preserve"> </w:t>
      </w:r>
      <w:r>
        <w:t xml:space="preserve">analysis (limma; |log₂FC| &gt; 1, FDR &lt; 0.05) identified 666 differentially abundant proteins (19.9%</w:t>
      </w:r>
      <w:r>
        <w:t xml:space="preserve"> </w:t>
      </w:r>
      <w:r>
        <w:t xml:space="preserve">of the quantified proteome), comprising 329 over-abundant and 337 under-abundant proteins in</w:t>
      </w:r>
      <w:r>
        <w:t xml:space="preserve"> </w:t>
      </w:r>
      <w:r>
        <w:t xml:space="preserve">tumour relative to adjacent-normal tissue (Fig 2A; Table S1). The cohort included six</w:t>
      </w:r>
      <w:r>
        <w:t xml:space="preserve"> </w:t>
      </w:r>
      <w:r>
        <w:t xml:space="preserve">HPV-positive and four HPV-negative patients. Gene-set enrichment analysis against the 50 MSigDB</w:t>
      </w:r>
      <w:r>
        <w:t xml:space="preserve"> </w:t>
      </w:r>
      <w:r>
        <w:t xml:space="preserve">Hallmark gene sets returned 11 significantly enriched programmes (FDR &lt; 0.05; Fig 2C). The most</w:t>
      </w:r>
      <w:r>
        <w:t xml:space="preserve"> </w:t>
      </w:r>
      <w:r>
        <w:t xml:space="preserve">strongly down-regulated signature was oxidative phosphorylation (NES = −2.21), consistent with a</w:t>
      </w:r>
      <w:r>
        <w:t xml:space="preserve"> </w:t>
      </w:r>
      <w:r>
        <w:t xml:space="preserve">glycolytic metabolic shift, followed by myogenesis (NES = −1.99) and adipogenesis (NES = −1.83).</w:t>
      </w:r>
    </w:p>
    <w:p>
      <w:pPr>
        <w:pStyle w:val="BodyText"/>
      </w:pPr>
      <w:r>
        <w:t xml:space="preserve">The most extreme under-abundant proteins were dominated by skeletal/cardiac muscle (e.g., MYH2,</w:t>
      </w:r>
      <w:r>
        <w:t xml:space="preserve"> </w:t>
      </w:r>
      <w:r>
        <w:t xml:space="preserve">MYL1/2/3, CASQ1, TCAP, ATP2A1) and airway/secretory markers (BPIFA1, BPIFB1), reflecting the</w:t>
      </w:r>
      <w:r>
        <w:t xml:space="preserve"> </w:t>
      </w:r>
      <w:r>
        <w:t xml:space="preserve">muscle- and mucosa-rich composition of adjacent-normal tongue and larynx specimens. These</w:t>
      </w:r>
      <w:r>
        <w:t xml:space="preserve"> </w:t>
      </w:r>
      <w:r>
        <w:t xml:space="preserve">tissue-composition markers accounted for 12.8% of down-regulated proteins overall but 80% of the</w:t>
      </w:r>
      <w:r>
        <w:t xml:space="preserve"> </w:t>
      </w:r>
      <w:r>
        <w:t xml:space="preserve">20 most extreme. To ensure that downstream conclusions were not driven by tissue composition, we</w:t>
      </w:r>
      <w:r>
        <w:t xml:space="preserve"> </w:t>
      </w:r>
      <w:r>
        <w:t xml:space="preserve">repeated the enrichment and network analyses after excluding these markers: the hub status of all</w:t>
      </w:r>
      <w:r>
        <w:t xml:space="preserve"> </w:t>
      </w:r>
      <w:r>
        <w:t xml:space="preserve">prioritized targets was unchanged (e.g., NDUFS2 degree 51→51; EGFR 24→23), the</w:t>
      </w:r>
      <w:r>
        <w:t xml:space="preserve"> </w:t>
      </w:r>
      <w:r>
        <w:t xml:space="preserve">oxidative-phosphorylation signature was retained and slightly strengthened (NES −2.21→−2.32), and</w:t>
      </w:r>
      <w:r>
        <w:t xml:space="preserve"> </w:t>
      </w:r>
      <w:r>
        <w:t xml:space="preserve">only the myogenesis hallmark was materially attenuated (NES −2.00→−1.56) (Table S2; sensitivity</w:t>
      </w:r>
      <w:r>
        <w:t xml:space="preserve"> </w:t>
      </w:r>
      <w:r>
        <w:t xml:space="preserve">analysis). Conclusions regarding prioritized targets and the OXPHOS axis are therefore robust to</w:t>
      </w:r>
      <w:r>
        <w:t xml:space="preserve"> </w:t>
      </w:r>
      <w:r>
        <w:t xml:space="preserve">this confound.</w:t>
      </w:r>
    </w:p>
    <w:bookmarkEnd w:id="19"/>
    <w:bookmarkStart w:id="20" w:name="X92453b7d215d9e8ae30332484cbd717adfa0c9b"/>
    <w:p>
      <w:pPr>
        <w:pStyle w:val="Heading3"/>
      </w:pPr>
      <w:r>
        <w:t xml:space="preserve">A reproducible, multi-source druggable candidate space</w:t>
      </w:r>
    </w:p>
    <w:p>
      <w:pPr>
        <w:pStyle w:val="FirstParagraph"/>
      </w:pPr>
      <w:r>
        <w:t xml:space="preserve">Mapping the differentially abundant proteins to four pharmacological resources (DGIdb, ChEMBL,</w:t>
      </w:r>
      <w:r>
        <w:t xml:space="preserve"> </w:t>
      </w:r>
      <w:r>
        <w:t xml:space="preserve">Open Targets, L2S2) yielded 458 multi-source candidate drugs: agents supported by at least two</w:t>
      </w:r>
      <w:r>
        <w:t xml:space="preserve"> </w:t>
      </w:r>
      <w:r>
        <w:t xml:space="preserve">databases, or already approved (regulatory class A/B, retained even with a single source), after</w:t>
      </w:r>
      <w:r>
        <w:t xml:space="preserve"> </w:t>
      </w:r>
      <w:r>
        <w:t xml:space="preserve">a curated exclusion list (Fig 3). The candidate set spanned the full clinical-development</w:t>
      </w:r>
      <w:r>
        <w:t xml:space="preserve"> </w:t>
      </w:r>
      <w:r>
        <w:t xml:space="preserve">spectrum, with a substantial fraction of approved agents (Fig 3A–B), and the cross-source UpSet</w:t>
      </w:r>
      <w:r>
        <w:t xml:space="preserve"> </w:t>
      </w:r>
      <w:r>
        <w:t xml:space="preserve">structure confirmed that candidates were not the artefact of any single database (Fig 3C). The</w:t>
      </w:r>
      <w:r>
        <w:t xml:space="preserve"> </w:t>
      </w:r>
      <w:r>
        <w:t xml:space="preserve">complete selection funnel is provided in Fig S1.</w:t>
      </w:r>
    </w:p>
    <w:bookmarkEnd w:id="20"/>
    <w:bookmarkStart w:id="21" w:name="Xfcea29522a03e0a996ddb60f80ba3d538d88f4e"/>
    <w:p>
      <w:pPr>
        <w:pStyle w:val="Heading3"/>
      </w:pPr>
      <w:r>
        <w:t xml:space="preserve">Network structure organizes targets into druggable mechanistic axes</w:t>
      </w:r>
    </w:p>
    <w:p>
      <w:pPr>
        <w:pStyle w:val="FirstParagraph"/>
      </w:pPr>
      <w:r>
        <w:t xml:space="preserve">To prioritize by biological position rather than fold-change magnitude alone, candidate targets</w:t>
      </w:r>
      <w:r>
        <w:t xml:space="preserve"> </w:t>
      </w:r>
      <w:r>
        <w:t xml:space="preserve">were embedded in a tumour protein–protein interaction network (STRING) and partitioned into</w:t>
      </w:r>
      <w:r>
        <w:t xml:space="preserve"> </w:t>
      </w:r>
      <w:r>
        <w:t xml:space="preserve">Louvain modules (Fig 4A), which carried 99 druggable hubs (Methods). Module-level Gene Ontology</w:t>
      </w:r>
      <w:r>
        <w:t xml:space="preserve"> </w:t>
      </w:r>
      <w:r>
        <w:t xml:space="preserve">enrichment assigned a coherent functional identity to each module (Fig 4B), and the per-module</w:t>
      </w:r>
      <w:r>
        <w:t xml:space="preserve"> </w:t>
      </w:r>
      <w:r>
        <w:t xml:space="preserve">hub counts (Fig 4C) defined the candidate anchors carried forward to prioritization. Modules were</w:t>
      </w:r>
      <w:r>
        <w:t xml:space="preserve"> </w:t>
      </w:r>
      <w:r>
        <w:t xml:space="preserve">classified by a data-driven drugability tier (containing an approved-drug target, druggable hubs</w:t>
      </w:r>
      <w:r>
        <w:t xml:space="preserve"> </w:t>
      </w:r>
      <w:r>
        <w:t xml:space="preserve">only, or below threshold); the most prominent axes corresponded to EGFR signalling, oxidative</w:t>
      </w:r>
      <w:r>
        <w:t xml:space="preserve"> </w:t>
      </w:r>
      <w:r>
        <w:t xml:space="preserve">phosphorylation, the proteasome, and epigenetic regulation.</w:t>
      </w:r>
    </w:p>
    <w:bookmarkEnd w:id="21"/>
    <w:bookmarkStart w:id="22" w:name="Xc45543ce8bdb3ea64ed04ff56dd6a17685dbd86"/>
    <w:p>
      <w:pPr>
        <w:pStyle w:val="Heading3"/>
      </w:pPr>
      <w:r>
        <w:t xml:space="preserve">A two-factor prioritization recovers known therapy and surfaces novel candidates</w:t>
      </w:r>
    </w:p>
    <w:p>
      <w:pPr>
        <w:pStyle w:val="FirstParagraph"/>
      </w:pPr>
      <w:r>
        <w:t xml:space="preserve">Each candidate was scored by a composite combining the biological priority of its target and the</w:t>
      </w:r>
      <w:r>
        <w:t xml:space="preserve"> </w:t>
      </w:r>
      <w:r>
        <w:t xml:space="preserve">deployability of the drug (</w:t>
      </w:r>
      <w:r>
        <w:rPr>
          <w:rStyle w:val="VerbatimChar"/>
        </w:rPr>
        <w:t xml:space="preserve">composite = 0.60·TargetPriority + 0.40·DrugViability</w:t>
      </w:r>
      <w:r>
        <w:t xml:space="preserve">), with every drug</w:t>
      </w:r>
      <w:r>
        <w:t xml:space="preserve"> </w:t>
      </w:r>
      <w:r>
        <w:t xml:space="preserve">anchored to its most credible central target through a curated ChEMBL/Open Targets edge (Fig 5;</w:t>
      </w:r>
      <w:r>
        <w:t xml:space="preserve"> </w:t>
      </w:r>
      <w:r>
        <w:t xml:space="preserve">Table 1). TargetPriority integrates network centrality with directional differential abundance,</w:t>
      </w:r>
      <w:r>
        <w:t xml:space="preserve"> </w:t>
      </w:r>
      <w:r>
        <w:t xml:space="preserve">and DrugViability integrates transcriptomic reversal (L2S2), regulatory class, and source breadth</w:t>
      </w:r>
      <w:r>
        <w:t xml:space="preserve"> </w:t>
      </w:r>
      <w:r>
        <w:t xml:space="preserve">(Methods).</w:t>
      </w:r>
    </w:p>
    <w:p>
      <w:pPr>
        <w:pStyle w:val="BodyText"/>
      </w:pPr>
      <w:r>
        <w:t xml:space="preserve">Without any disease-specific tuning, the prioritization elevated the EGFR axis (module M2) to the</w:t>
      </w:r>
      <w:r>
        <w:t xml:space="preserve"> </w:t>
      </w:r>
      <w:r>
        <w:t xml:space="preserve">top of the ranking: cetuximab ranked first (composite 0.73), accompanied by other approved</w:t>
      </w:r>
      <w:r>
        <w:t xml:space="preserve"> </w:t>
      </w:r>
      <w:r>
        <w:t xml:space="preserve">EGFR-directed agents (nimotuzumab, panitumumab, gefitinib, afatinib) (Table 1, EGFR control</w:t>
      </w:r>
      <w:r>
        <w:t xml:space="preserve"> </w:t>
      </w:r>
      <w:r>
        <w:t xml:space="preserve">block). Because EGFR is the principal molecular target with established approved therapy in HNSCC,</w:t>
      </w:r>
      <w:r>
        <w:t xml:space="preserve"> </w:t>
      </w:r>
      <w:r>
        <w:t xml:space="preserve">this unsupervised recovery of clinically validated agents serves as an internal positive control</w:t>
      </w:r>
      <w:r>
        <w:t xml:space="preserve"> </w:t>
      </w:r>
      <w:r>
        <w:t xml:space="preserve">for the method, supporting the credibility of its other nominations.</w:t>
      </w:r>
    </w:p>
    <w:p>
      <w:pPr>
        <w:pStyle w:val="BodyText"/>
      </w:pPr>
      <w:r>
        <w:t xml:space="preserve">Beyond this control, the shortlist resolved into two interpretable tiers (Table 1; Fig 5A). The</w:t>
      </w:r>
      <w:r>
        <w:t xml:space="preserve"> </w:t>
      </w:r>
      <w:r>
        <w:t xml:space="preserve">hub-central tier comprised candidates whose anchor is a network hub: metformin, anchored to the</w:t>
      </w:r>
      <w:r>
        <w:t xml:space="preserve"> </w:t>
      </w:r>
      <w:r>
        <w:t xml:space="preserve">Complex I subunit NDUFS2 within the oxidative-phosphorylation module (composite 0.591), and</w:t>
      </w:r>
      <w:r>
        <w:t xml:space="preserve"> </w:t>
      </w:r>
      <w:r>
        <w:t xml:space="preserve">proteasome-directed agents anchored to PSMA2/PSMB3. Notably, Complex I subunits were robustly</w:t>
      </w:r>
      <w:r>
        <w:t xml:space="preserve"> </w:t>
      </w:r>
      <w:r>
        <w:t xml:space="preserve">under-abundant in tumour (NDUFS2 log₂FC = −3.05); metformin was prioritized through the high</w:t>
      </w:r>
      <w:r>
        <w:t xml:space="preserve"> </w:t>
      </w:r>
      <w:r>
        <w:t xml:space="preserve">network centrality of its anchor, independent of fold-change direction, and is framed here as a</w:t>
      </w:r>
      <w:r>
        <w:t xml:space="preserve"> </w:t>
      </w:r>
      <w:r>
        <w:t xml:space="preserve">metabolic-vulnerability and combination-therapy candidate rather than as inhibition of an</w:t>
      </w:r>
      <w:r>
        <w:t xml:space="preserve"> </w:t>
      </w:r>
      <w:r>
        <w:t xml:space="preserve">over-expressed target. The peripheral-differential tier comprised targets that are</w:t>
      </w:r>
      <w:r>
        <w:t xml:space="preserve"> </w:t>
      </w:r>
      <w:r>
        <w:t xml:space="preserve">differentially abundant but not network hubs, including the epigenetic regulators DNMT1</w:t>
      </w:r>
      <w:r>
        <w:t xml:space="preserve"> </w:t>
      </w:r>
      <w:r>
        <w:t xml:space="preserve">(decitabine/azacitidine) and MAOA (tranylcypromine) and the antimetabolite target IMPDH2</w:t>
      </w:r>
      <w:r>
        <w:t xml:space="preserve"> </w:t>
      </w:r>
      <w:r>
        <w:t xml:space="preserve">(thioguanine), alongside classical repurposing agents. The extended candidate list across all</w:t>
      </w:r>
      <w:r>
        <w:t xml:space="preserve"> </w:t>
      </w:r>
      <w:r>
        <w:t xml:space="preserve">modules is provided in Table S5, and candidate provenance in Table S3.</w:t>
      </w:r>
    </w:p>
    <w:bookmarkEnd w:id="22"/>
    <w:bookmarkStart w:id="23" w:name="Xf897869c0bdcefc00fa26d923691eff53548e07"/>
    <w:p>
      <w:pPr>
        <w:pStyle w:val="Heading3"/>
      </w:pPr>
      <w:r>
        <w:t xml:space="preserve">Prioritized-target directionality replicates in two independent cohorts</w:t>
      </w:r>
    </w:p>
    <w:p>
      <w:pPr>
        <w:pStyle w:val="FirstParagraph"/>
      </w:pPr>
      <w:r>
        <w:t xml:space="preserve">To assess generalizability, we asked whether the directionality of the prioritized targets</w:t>
      </w:r>
      <w:r>
        <w:t xml:space="preserve"> </w:t>
      </w:r>
      <w:r>
        <w:t xml:space="preserve">replicated in independent data (Fig 6). At the global level, the DIA proteome correlated with the</w:t>
      </w:r>
      <w:r>
        <w:t xml:space="preserve"> </w:t>
      </w:r>
      <w:r>
        <w:t xml:space="preserve">CPTAC-HNSCC TMT proteome (Pearson r = 0.789 over 636 shared genes; 86.3% directional concordance;</w:t>
      </w:r>
      <w:r>
        <w:t xml:space="preserve"> </w:t>
      </w:r>
      <w:r>
        <w:t xml:space="preserve">Fig 6A) and with the TCGA-HNSC transcriptome (r = 0.601 over 663 shared genes; 76.2% concordance;</w:t>
      </w:r>
      <w:r>
        <w:t xml:space="preserve"> </w:t>
      </w:r>
      <w:r>
        <w:t xml:space="preserve">Fig 6B). For the 14 shortlist anchor targets specifically (Fig 6C; Table S4), directional</w:t>
      </w:r>
      <w:r>
        <w:t xml:space="preserve"> </w:t>
      </w:r>
      <w:r>
        <w:t xml:space="preserve">concordance was observed for 11 of 12 anchors with CPTAC data and 11 of 14 with TCGA, with 10/12</w:t>
      </w:r>
      <w:r>
        <w:t xml:space="preserve"> </w:t>
      </w:r>
      <w:r>
        <w:t xml:space="preserve">and 12/14 reaching FDR &lt; 0.05, respectively. Concordance was strong for the principal candidates</w:t>
      </w:r>
      <w:r>
        <w:t xml:space="preserve"> </w:t>
      </w:r>
      <w:r>
        <w:t xml:space="preserve">(EGFR, NDUFS2, DNMT1, PSMA2, ALDH5A1, MAOA, MMP8, IMPDH2, ALDH2) and weaker or discordant for four</w:t>
      </w:r>
      <w:r>
        <w:t xml:space="preserve"> </w:t>
      </w:r>
      <w:r>
        <w:t xml:space="preserve">anchors (PDE6D, CA2, CDA, RPS11), which should be regarded as lower-confidence nominations. These</w:t>
      </w:r>
      <w:r>
        <w:t xml:space="preserve"> </w:t>
      </w:r>
      <w:r>
        <w:t xml:space="preserve">cohorts corroborate the directionality of the prioritized targets; they are not a test of drug</w:t>
      </w:r>
      <w:r>
        <w:t xml:space="preserve"> </w:t>
      </w:r>
      <w:r>
        <w:t xml:space="preserve">efficacy or of the candidate rank order.</w:t>
      </w:r>
    </w:p>
    <w:bookmarkEnd w:id="23"/>
    <w:bookmarkStart w:id="24" w:name="the-ranking-is-robust-to-scoring-choices"/>
    <w:p>
      <w:pPr>
        <w:pStyle w:val="Heading3"/>
      </w:pPr>
      <w:r>
        <w:t xml:space="preserve">The ranking is robust to scoring choices</w:t>
      </w:r>
    </w:p>
    <w:p>
      <w:pPr>
        <w:pStyle w:val="FirstParagraph"/>
      </w:pPr>
      <w:r>
        <w:t xml:space="preserve">Finally, the candidate ranking was stable across six independent weight configurations and a</w:t>
      </w:r>
      <w:r>
        <w:t xml:space="preserve"> </w:t>
      </w:r>
      <w:r>
        <w:t xml:space="preserve">limit-of-detection filter (Fig S2). Candidates flagged as LOD-stable, including the EGFR-axis</w:t>
      </w:r>
      <w:r>
        <w:t xml:space="preserve"> </w:t>
      </w:r>
      <w:r>
        <w:t xml:space="preserve">agents and the leading hub-central candidates, retained their positions across configurations</w:t>
      </w:r>
      <w:r>
        <w:t xml:space="preserve"> </w:t>
      </w:r>
      <w:r>
        <w:t xml:space="preserve">(Table 1, robustness columns), defining a robust core panel. Consistent with their nomination as</w:t>
      </w:r>
      <w:r>
        <w:t xml:space="preserve"> </w:t>
      </w:r>
      <w:r>
        <w:t xml:space="preserve">therapeutic vulnerabilities rather than prognostic markers, none of the four pillar genes (EGFR,</w:t>
      </w:r>
      <w:r>
        <w:t xml:space="preserve"> </w:t>
      </w:r>
      <w:r>
        <w:t xml:space="preserve">PSMB10, DNMT1, NDUFS3) was significantly associated with overall survival in TCGA-HNSC (all</w:t>
      </w:r>
      <w:r>
        <w:t xml:space="preserve"> </w:t>
      </w:r>
      <w:r>
        <w:t xml:space="preserve">p &gt; 0.05; Fig S3).</w:t>
      </w:r>
    </w:p>
    <w:bookmarkEnd w:id="24"/>
    <w:bookmarkEnd w:id="25"/>
    <w:bookmarkEnd w:id="26"/>
    <w:bookmarkStart w:id="27" w:name="references"/>
    <w:p>
      <w:pPr>
        <w:pStyle w:val="Heading1"/>
      </w:pPr>
      <w:r>
        <w:t xml:space="preserve">References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b/>
      <w:rFonts w:asciiTheme="majorHAnsi" w:cstheme="majorBidi" w:eastAsiaTheme="majorEastAsia" w:hAnsiTheme="majorHAnsi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b/>
      <w:rFonts w:asciiTheme="majorHAnsi" w:cstheme="majorBidi" w:eastAsiaTheme="majorEastAsia" w:hAnsiTheme="majorHAnsi"/>
      <w:color w:val="000000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b/>
      <w:rFonts w:asciiTheme="majorHAnsi" w:cstheme="majorBidi" w:eastAsiaTheme="majorEastAsia" w:hAnsiTheme="majorHAnsi"/>
      <w:color w:val="000000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b/>
      <w:rFonts w:cstheme="majorBidi" w:eastAsiaTheme="majorEastAsia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b/>
      <w:rFonts w:cstheme="majorBidi" w:eastAsiaTheme="majorEastAsia"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b/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b/>
      <w:rFonts w:cstheme="majorBidi" w:eastAsiaTheme="majorEastAsia"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b/>
      <w:rFonts w:cstheme="majorBidi" w:eastAsiaTheme="majorEastAsia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b/>
      <w:rFonts w:cstheme="majorBidi" w:eastAsiaTheme="majorEastAsia"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b/>
      <w:rFonts w:cstheme="majorBidi" w:eastAsiaTheme="majorEastAsia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2026-06-14T18:35:32Z</dcterms:created>
  <dcterms:modified xsi:type="dcterms:W3CDTF">2026-06-14T18:35:32Z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