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Discussion, main-body figures (Fig 1-6) and the prioritized-candidate main table (Table 1). Abstract, Title and complete Methods/Results citations are pending (WRITING_PLAN.md steps 6-8). Citations shown are PubMed-verified; the bibliography is generated by pandoc / scanned in Zotero.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Bray et al. 2024)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(Burtness et al. 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(Uppaluri et al. 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(Ang et al. 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(Aebersold and Mann 2016)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HNSCC.</w:t>
      </w:r>
      <w:r>
        <w:t xml:space="preserve"> </w:t>
      </w:r>
      <w:r>
        <w:t xml:space="preserve">(Huang et al. 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(Pushpakom et al. 2019; Tanoli et al. 2025)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(Lamb et al. 2006; Subramanian et al. 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(Barabási, Gulbahce, and Loscalzo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20"/>
    <w:bookmarkStart w:id="29" w:name="methods"/>
    <w:p>
      <w:pPr>
        <w:pStyle w:val="Heading2"/>
      </w:pPr>
      <w:r>
        <w:t xml:space="preserve">Methods</w:t>
      </w:r>
    </w:p>
    <w:bookmarkStart w:id="21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(Wu et al. 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21"/>
    <w:bookmarkStart w:id="22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(Subramanian et al. 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22"/>
    <w:bookmarkStart w:id="23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(Cannon et al. 2024)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(Mendez et al. 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(Ochoa et al. 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23"/>
    <w:bookmarkStart w:id="24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(Szklarczyk et al. 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24"/>
    <w:bookmarkStart w:id="25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25"/>
    <w:bookmarkStart w:id="26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26"/>
    <w:bookmarkStart w:id="27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(Huang et al. 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27"/>
    <w:bookmarkStart w:id="28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28"/>
    <w:bookmarkEnd w:id="29"/>
    <w:bookmarkStart w:id="36" w:name="results"/>
    <w:p>
      <w:pPr>
        <w:pStyle w:val="Heading2"/>
      </w:pPr>
      <w:r>
        <w:t xml:space="preserve">Results</w:t>
      </w:r>
    </w:p>
    <w:bookmarkStart w:id="30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30"/>
    <w:bookmarkStart w:id="31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31"/>
    <w:bookmarkStart w:id="32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32"/>
    <w:bookmarkStart w:id="33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33"/>
    <w:bookmarkStart w:id="34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34"/>
    <w:bookmarkStart w:id="35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35"/>
    <w:bookmarkEnd w:id="36"/>
    <w:bookmarkStart w:id="3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Effective systemic options for HNSCC remain limited, and developing new agents de novo is slow and</w:t>
      </w:r>
      <w:r>
        <w:t xml:space="preserve"> </w:t>
      </w:r>
      <w:r>
        <w:t xml:space="preserve">costly; drug repurposing offers a faster, lower-risk route to deployable therapy</w:t>
      </w:r>
      <w:r>
        <w:t xml:space="preserve"> </w:t>
      </w:r>
      <w:r>
        <w:t xml:space="preserve">(Pushpakom et al. 2019; Tanoli et al. 2025)</w:t>
      </w:r>
      <w:r>
        <w:t xml:space="preserve">. Starting from the proteomes of paired HNSCC tumors, this study</w:t>
      </w:r>
      <w:r>
        <w:t xml:space="preserve"> </w:t>
      </w:r>
      <w:r>
        <w:t xml:space="preserve">proposes a credible, mechanistically organized shortlist of repurposing candidates that resolves</w:t>
      </w:r>
      <w:r>
        <w:t xml:space="preserve"> </w:t>
      </w:r>
      <w:r>
        <w:t xml:space="preserve">into interpretable therapeutic axes (EGFR, epigenetic, proteasome, and metabolic), each with a</w:t>
      </w:r>
      <w:r>
        <w:t xml:space="preserve"> </w:t>
      </w:r>
      <w:r>
        <w:t xml:space="preserve">biological rationale a translational reader can evaluate. Two observations argue for taking the</w:t>
      </w:r>
      <w:r>
        <w:t xml:space="preserve"> </w:t>
      </w:r>
      <w:r>
        <w:t xml:space="preserve">shortlist seriously. First, without disease-specific tuning, the analysis re-discovered the EGFR</w:t>
      </w:r>
      <w:r>
        <w:t xml:space="preserve"> </w:t>
      </w:r>
      <w:r>
        <w:t xml:space="preserve">axis, the molecular target with established approved therapy in HNSCC</w:t>
      </w:r>
      <w:r>
        <w:t xml:space="preserve"> </w:t>
      </w:r>
      <w:r>
        <w:t xml:space="preserve">(Burtness et al. 2019; Carosi et al. 2026)</w:t>
      </w:r>
      <w:r>
        <w:t xml:space="preserve">.</w:t>
      </w:r>
      <w:r>
        <w:t xml:space="preserve"> </w:t>
      </w:r>
      <w:r>
        <w:t xml:space="preserve">Second, the direction of change in the prioritized targets was reproduced across two independent</w:t>
      </w:r>
      <w:r>
        <w:t xml:space="preserve"> </w:t>
      </w:r>
      <w:r>
        <w:t xml:space="preserve">cohorts. The prioritization procedure itself, which weighs where a target sits in the tumor protein</w:t>
      </w:r>
      <w:r>
        <w:t xml:space="preserve"> </w:t>
      </w:r>
      <w:r>
        <w:t xml:space="preserve">network alongside how deployable its drug is rather than fold-change magnitude alone, is the means</w:t>
      </w:r>
      <w:r>
        <w:t xml:space="preserve"> </w:t>
      </w:r>
      <w:r>
        <w:t xml:space="preserve">to this end rather than the focus of the work.</w:t>
      </w:r>
    </w:p>
    <w:p>
      <w:pPr>
        <w:pStyle w:val="BodyText"/>
      </w:pPr>
      <w:r>
        <w:t xml:space="preserve">The unsupervised recovery of cetuximab at the top of the ranking (composite 0.73), accompanied by</w:t>
      </w:r>
      <w:r>
        <w:t xml:space="preserve"> </w:t>
      </w:r>
      <w:r>
        <w:t xml:space="preserve">other approved EGFR-directed agents, served as an internal positive control: a method that</w:t>
      </w:r>
      <w:r>
        <w:t xml:space="preserve"> </w:t>
      </w:r>
      <w:r>
        <w:t xml:space="preserve">independently elevates the established standard target is more credible when it also nominates less</w:t>
      </w:r>
      <w:r>
        <w:t xml:space="preserve"> </w:t>
      </w:r>
      <w:r>
        <w:t xml:space="preserve">obvious ones. Beyond this control, the result invites viewing EGFR not as an isolated receptor but</w:t>
      </w:r>
      <w:r>
        <w:t xml:space="preserve"> </w:t>
      </w:r>
      <w:r>
        <w:t xml:space="preserve">as a central hub within a broader signaling network. EGFR is frequently overexpressed in HNSCC, yet</w:t>
      </w:r>
      <w:r>
        <w:t xml:space="preserve"> </w:t>
      </w:r>
      <w:r>
        <w:t xml:space="preserve">single-agent anti-EGFR benefit is limited, a limitation that has been attributed to intrinsic and</w:t>
      </w:r>
      <w:r>
        <w:t xml:space="preserve"> </w:t>
      </w:r>
      <w:r>
        <w:t xml:space="preserve">acquired resistance, including compensatory receptor tyrosine kinase activation, downstream pathway</w:t>
      </w:r>
      <w:r>
        <w:t xml:space="preserve"> </w:t>
      </w:r>
      <w:r>
        <w:t xml:space="preserve">alterations, and epithelial-mesenchymal transition</w:t>
      </w:r>
      <w:r>
        <w:t xml:space="preserve"> </w:t>
      </w:r>
      <w:r>
        <w:t xml:space="preserve">(Carosi et al. 2026)</w:t>
      </w:r>
      <w:r>
        <w:t xml:space="preserve">. Viewing EGFR as a network node</w:t>
      </w:r>
      <w:r>
        <w:t xml:space="preserve"> </w:t>
      </w:r>
      <w:r>
        <w:t xml:space="preserve">rather than a solitary target is consistent with the rationale for the combination strategies (dual</w:t>
      </w:r>
      <w:r>
        <w:t xml:space="preserve"> </w:t>
      </w:r>
      <w:r>
        <w:t xml:space="preserve">EGFR blockade, pan-HER inhibitors, or EGFR inhibition plus immunomodulation) currently being</w:t>
      </w:r>
      <w:r>
        <w:t xml:space="preserve"> </w:t>
      </w:r>
      <w:r>
        <w:t xml:space="preserve">explored to overcome resistance</w:t>
      </w:r>
      <w:r>
        <w:t xml:space="preserve"> </w:t>
      </w:r>
      <w:r>
        <w:t xml:space="preserve">(Carosi et al. 2026; Bhatia and Burtness 2023)</w:t>
      </w:r>
      <w:r>
        <w:t xml:space="preserve">. The same network logic that recovers</w:t>
      </w:r>
      <w:r>
        <w:t xml:space="preserve"> </w:t>
      </w:r>
      <w:r>
        <w:t xml:space="preserve">EGFR also organizes the remaining candidates into interpretable mechanistic axes.</w:t>
      </w:r>
    </w:p>
    <w:p>
      <w:pPr>
        <w:pStyle w:val="BodyText"/>
      </w:pPr>
      <w:r>
        <w:t xml:space="preserve">Two non-canonical axes are, in our reading, the most novel. The epigenetic axis, anchored by DNMT1</w:t>
      </w:r>
      <w:r>
        <w:t xml:space="preserve"> </w:t>
      </w:r>
      <w:r>
        <w:t xml:space="preserve">(decitabine, azacitidine) and MAOA (tranylcypromine), suggests that chromatin and DNA-methylation</w:t>
      </w:r>
      <w:r>
        <w:t xml:space="preserve"> </w:t>
      </w:r>
      <w:r>
        <w:t xml:space="preserve">regulators may be an integral part of the HNSCC tumor state rather than only a secondary</w:t>
      </w:r>
      <w:r>
        <w:t xml:space="preserve"> </w:t>
      </w:r>
      <w:r>
        <w:t xml:space="preserve">epiphenomenon. This axis carries a plausible translational rationale: DNA methyltransferase</w:t>
      </w:r>
      <w:r>
        <w:t xml:space="preserve"> </w:t>
      </w:r>
      <w:r>
        <w:t xml:space="preserve">inhibition can increase tumor immunogenicity and remodel the immune microenvironment, which</w:t>
      </w:r>
      <w:r>
        <w:t xml:space="preserve"> </w:t>
      </w:r>
      <w:r>
        <w:t xml:space="preserve">provides a mechanistic basis for combining hypomethylating agents with immune-checkpoint inhibitors</w:t>
      </w:r>
      <w:r>
        <w:t xml:space="preserve"> </w:t>
      </w:r>
      <w:r>
        <w:t xml:space="preserve">(Bear et al. 2025)</w:t>
      </w:r>
      <w:r>
        <w:t xml:space="preserve">. A recent phase 2 window trial reported that decitabine followed by pembrolizumab</w:t>
      </w:r>
      <w:r>
        <w:t xml:space="preserve"> </w:t>
      </w:r>
      <w:r>
        <w:t xml:space="preserve">increased tumor-infiltrating lymphocytes and PD-L1 expression and reduced myeloid-derived</w:t>
      </w:r>
      <w:r>
        <w:t xml:space="preserve"> </w:t>
      </w:r>
      <w:r>
        <w:t xml:space="preserve">suppressor cells before standard therapy</w:t>
      </w:r>
      <w:r>
        <w:t xml:space="preserve"> </w:t>
      </w:r>
      <w:r>
        <w:t xml:space="preserve">(Bear et al. 2025)</w:t>
      </w:r>
      <w:r>
        <w:t xml:space="preserve">, illustrating the prime-then-checkpoint</w:t>
      </w:r>
      <w:r>
        <w:t xml:space="preserve"> </w:t>
      </w:r>
      <w:r>
        <w:t xml:space="preserve">strategy that our epigenetic nominations would support, an approach now being explored clinically.</w:t>
      </w:r>
      <w:r>
        <w:t xml:space="preserve"> </w:t>
      </w:r>
      <w:r>
        <w:t xml:space="preserve">The proteasome axis, anchored by the 20S subunits PSMA2 and PSMB3 (carfilzomib), points to a</w:t>
      </w:r>
      <w:r>
        <w:t xml:space="preserve"> </w:t>
      </w:r>
      <w:r>
        <w:t xml:space="preserve">possible dependence on protein homeostasis: a high biosynthetic burden and accumulation of</w:t>
      </w:r>
      <w:r>
        <w:t xml:space="preserve"> </w:t>
      </w:r>
      <w:r>
        <w:t xml:space="preserve">misfolded proteins could render HNSCC cells reliant on proteasomal clearance, a vulnerability that</w:t>
      </w:r>
      <w:r>
        <w:t xml:space="preserve"> </w:t>
      </w:r>
      <w:r>
        <w:t xml:space="preserve">next-generation proteasome inhibitors such as carfilzomib and oprozomib have been reported to</w:t>
      </w:r>
      <w:r>
        <w:t xml:space="preserve"> </w:t>
      </w:r>
      <w:r>
        <w:t xml:space="preserve">exploit in HNSCC preclinical models, in part through induction of the unfolded protein response</w:t>
      </w:r>
      <w:r>
        <w:t xml:space="preserve"> </w:t>
      </w:r>
      <w:r>
        <w:t xml:space="preserve">(Zang et al. 2012)</w:t>
      </w:r>
      <w:r>
        <w:t xml:space="preserve">. Proteostasis targeting is clinically established in hematologic malignancies but</w:t>
      </w:r>
      <w:r>
        <w:t xml:space="preserve"> </w:t>
      </w:r>
      <w:r>
        <w:t xml:space="preserve">comparatively under-explored in solid tumors such as HNSCC</w:t>
      </w:r>
      <w:r>
        <w:t xml:space="preserve"> </w:t>
      </w:r>
      <w:r>
        <w:t xml:space="preserve">(Zang et al. 2012)</w:t>
      </w:r>
      <w:r>
        <w:t xml:space="preserve">, which positions this axis</w:t>
      </w:r>
      <w:r>
        <w:t xml:space="preserve"> </w:t>
      </w:r>
      <w:r>
        <w:t xml:space="preserve">as a hypothesis worth dedicated preclinical testing rather than an established therapy. A feature</w:t>
      </w:r>
      <w:r>
        <w:t xml:space="preserve"> </w:t>
      </w:r>
      <w:r>
        <w:t xml:space="preserve">that distinguishes both axes from EGFR is that their anchors are differentially abundant nodes whose</w:t>
      </w:r>
      <w:r>
        <w:t xml:space="preserve"> </w:t>
      </w:r>
      <w:r>
        <w:t xml:space="preserve">proposed therapeutic logic would be reprogramming or stress-exploitation rather than the simple</w:t>
      </w:r>
      <w:r>
        <w:t xml:space="preserve"> </w:t>
      </w:r>
      <w:r>
        <w:t xml:space="preserve">inhibition of an overexpressed driver.</w:t>
      </w:r>
    </w:p>
    <w:p>
      <w:pPr>
        <w:pStyle w:val="BodyText"/>
      </w:pPr>
      <w:r>
        <w:t xml:space="preserve">The metabolic axis requires the most careful framing. Unlike EGFR, which is over-abundant and</w:t>
      </w:r>
      <w:r>
        <w:t xml:space="preserve"> </w:t>
      </w:r>
      <w:r>
        <w:t xml:space="preserve">addressed by direct inhibition, Complex I subunits were robustly under-abundant in tumors</w:t>
      </w:r>
      <w:r>
        <w:t xml:space="preserve"> </w:t>
      </w:r>
      <w:r>
        <w:t xml:space="preserve">(NDUFS2 log2FC = -3.05), a direction reproduced in both the CPTAC proteome and the TCGA</w:t>
      </w:r>
      <w:r>
        <w:t xml:space="preserve"> </w:t>
      </w:r>
      <w:r>
        <w:t xml:space="preserve">transcriptome and consistent with a glycolytic, Warburg-like shift. Metformin rose to the top of</w:t>
      </w:r>
      <w:r>
        <w:t xml:space="preserve"> </w:t>
      </w:r>
      <w:r>
        <w:t xml:space="preserve">the metabolic module (composite 0.591) through the high network centrality of its anchor, NDUFS2,</w:t>
      </w:r>
      <w:r>
        <w:t xml:space="preserve"> </w:t>
      </w:r>
      <w:r>
        <w:t xml:space="preserve">independent of fold-change direction. Its nomination therefore rests on a metabolic-vulnerability</w:t>
      </w:r>
      <w:r>
        <w:t xml:space="preserve"> </w:t>
      </w:r>
      <w:r>
        <w:t xml:space="preserve">rationale rather than on target overexpression: residual oxidative-phosphorylation dependence may</w:t>
      </w:r>
      <w:r>
        <w:t xml:space="preserve"> </w:t>
      </w:r>
      <w:r>
        <w:t xml:space="preserve">remain a targetable feature of cancer cells, and Complex I inhibition has been reported to exert</w:t>
      </w:r>
      <w:r>
        <w:t xml:space="preserve"> </w:t>
      </w:r>
      <w:r>
        <w:t xml:space="preserve">immunometabolic effects on the tumor microenvironment</w:t>
      </w:r>
      <w:r>
        <w:t xml:space="preserve"> </w:t>
      </w:r>
      <w:r>
        <w:t xml:space="preserve">(Pujalte-Martin et al. 2024)</w:t>
      </w:r>
      <w:r>
        <w:t xml:space="preserve">. In HNSCC specifically,</w:t>
      </w:r>
      <w:r>
        <w:t xml:space="preserve"> </w:t>
      </w:r>
      <w:r>
        <w:t xml:space="preserve">metformin use has been associated with improved outcomes and may act in part through immune</w:t>
      </w:r>
      <w:r>
        <w:t xml:space="preserve"> </w:t>
      </w:r>
      <w:r>
        <w:t xml:space="preserve">mechanisms, including increased CD8+ infiltration and enhanced natural-killer-cell cytotoxicity</w:t>
      </w:r>
      <w:r>
        <w:t xml:space="preserve"> </w:t>
      </w:r>
      <w:r>
        <w:t xml:space="preserve">(Curry et al. 2018; Crist et al. 2022)</w:t>
      </w:r>
      <w:r>
        <w:t xml:space="preserve">. Because single-agent metformin trials have been less effective than</w:t>
      </w:r>
      <w:r>
        <w:t xml:space="preserve"> </w:t>
      </w:r>
      <w:r>
        <w:t xml:space="preserve">observational data suggested</w:t>
      </w:r>
      <w:r>
        <w:t xml:space="preserve"> </w:t>
      </w:r>
      <w:r>
        <w:t xml:space="preserve">(Pujalte-Martin et al. 2024)</w:t>
      </w:r>
      <w:r>
        <w:t xml:space="preserve">, and early-phase HNSCC studies indicate</w:t>
      </w:r>
      <w:r>
        <w:t xml:space="preserve"> </w:t>
      </w:r>
      <w:r>
        <w:t xml:space="preserve">tolerability in combination with chemoradiation</w:t>
      </w:r>
      <w:r>
        <w:t xml:space="preserve"> </w:t>
      </w:r>
      <w:r>
        <w:t xml:space="preserve">(Kemnade et al. 2023)</w:t>
      </w:r>
      <w:r>
        <w:t xml:space="preserve">, we position metformin as a</w:t>
      </w:r>
      <w:r>
        <w:t xml:space="preserve"> </w:t>
      </w:r>
      <w:r>
        <w:t xml:space="preserve">combination candidate (with chemoradiation or immunotherapy) rather than as a single-agent</w:t>
      </w:r>
      <w:r>
        <w:t xml:space="preserve"> </w:t>
      </w:r>
      <w:r>
        <w:t xml:space="preserve">inhibitor of an over-expressed target.</w:t>
      </w:r>
    </w:p>
    <w:p>
      <w:pPr>
        <w:pStyle w:val="BodyText"/>
      </w:pPr>
      <w:r>
        <w:t xml:space="preserve">More broadly, weighting network position together with drug deployability and cross-cohort support</w:t>
      </w:r>
      <w:r>
        <w:t xml:space="preserve"> </w:t>
      </w:r>
      <w:r>
        <w:t xml:space="preserve">is intended to yield a list that is actionable, not merely ranked. By design the composite is</w:t>
      </w:r>
      <w:r>
        <w:t xml:space="preserve"> </w:t>
      </w:r>
      <w:r>
        <w:t xml:space="preserve">dominated by network centrality (Spearman rho approximately 0.78 with centrality alone), with the</w:t>
      </w:r>
      <w:r>
        <w:t xml:space="preserve"> </w:t>
      </w:r>
      <w:r>
        <w:t xml:space="preserve">drug-level DrugViability term acting mainly as a clinical and pharmacological tie-breaker among</w:t>
      </w:r>
      <w:r>
        <w:t xml:space="preserve"> </w:t>
      </w:r>
      <w:r>
        <w:t xml:space="preserve">agents that share a target; we therefore present the score as a transparent aggregation of evidence</w:t>
      </w:r>
      <w:r>
        <w:t xml:space="preserve"> </w:t>
      </w:r>
      <w:r>
        <w:t xml:space="preserve">rather than as a method whose superiority over fold-change or database-count ranking is</w:t>
      </w:r>
      <w:r>
        <w:t xml:space="preserve"> </w:t>
      </w:r>
      <w:r>
        <w:t xml:space="preserve">established, a comparison that would require dedicated benchmarking</w:t>
      </w:r>
      <w:r>
        <w:t xml:space="preserve"> </w:t>
      </w:r>
      <w:r>
        <w:t xml:space="preserve">(Pushpakom et al. 2019; Tanoli et al. 2025)</w:t>
      </w:r>
      <w:r>
        <w:t xml:space="preserve">.</w:t>
      </w:r>
      <w:r>
        <w:t xml:space="preserve"> </w:t>
      </w:r>
      <w:r>
        <w:t xml:space="preserve">This network-centric view, in which therapeutic effect may depend on modulating functional modules</w:t>
      </w:r>
      <w:r>
        <w:t xml:space="preserve"> </w:t>
      </w:r>
      <w:r>
        <w:t xml:space="preserve">rather than single proteins, is consistent with network-medicine principles</w:t>
      </w:r>
      <w:r>
        <w:t xml:space="preserve"> </w:t>
      </w:r>
      <w:r>
        <w:t xml:space="preserve">(Barabási, Gulbahce, and Loscalzo 2011)</w:t>
      </w:r>
      <w:r>
        <w:t xml:space="preserve">.</w:t>
      </w:r>
      <w:r>
        <w:t xml:space="preserve"> </w:t>
      </w:r>
      <w:r>
        <w:t xml:space="preserve">Several prioritized agents are approved for non-oncologic indications (valproate, acetazolamide,</w:t>
      </w:r>
      <w:r>
        <w:t xml:space="preserve"> </w:t>
      </w:r>
      <w:r>
        <w:t xml:space="preserve">disulfiram) and could in principle offer short-horizon, accessible repurposing options. The</w:t>
      </w:r>
      <w:r>
        <w:t xml:space="preserve"> </w:t>
      </w:r>
      <w:r>
        <w:t xml:space="preserve">relevance of such combination candidates may be heightened by the field’s shift toward</w:t>
      </w:r>
      <w:r>
        <w:t xml:space="preserve"> </w:t>
      </w:r>
      <w:r>
        <w:t xml:space="preserve">perioperative, immunotherapy-based regimens in resectable HNSCC</w:t>
      </w:r>
      <w:r>
        <w:t xml:space="preserve"> </w:t>
      </w:r>
      <w:r>
        <w:t xml:space="preserve">(Uppaluri et al. 2025)</w:t>
      </w:r>
      <w:r>
        <w:t xml:space="preserve">, a setting in which</w:t>
      </w:r>
      <w:r>
        <w:t xml:space="preserve"> </w:t>
      </w:r>
      <w:r>
        <w:t xml:space="preserve">agents that prime or sensitize the tumor microenvironment could complement checkpoint blockade,</w:t>
      </w:r>
      <w:r>
        <w:t xml:space="preserve"> </w:t>
      </w:r>
      <w:r>
        <w:t xml:space="preserve">although our data speak to target biology rather than to patient selection.</w:t>
      </w:r>
    </w:p>
    <w:p>
      <w:pPr>
        <w:pStyle w:val="BodyText"/>
      </w:pPr>
      <w:r>
        <w:t xml:space="preserve">Several limitations bound these conclusions. The discovery cohort is small (10 paired specimens);</w:t>
      </w:r>
      <w:r>
        <w:t xml:space="preserve"> </w:t>
      </w:r>
      <w:r>
        <w:t xml:space="preserve">cross-cohort corroboration mitigates but does not replace adequately powered confirmation. Tumor</w:t>
      </w:r>
      <w:r>
        <w:t xml:space="preserve"> </w:t>
      </w:r>
      <w:r>
        <w:t xml:space="preserve">and adjacent-normal specimens differ in cellular composition, and muscle and respiratory-mucosa</w:t>
      </w:r>
      <w:r>
        <w:t xml:space="preserve"> </w:t>
      </w:r>
      <w:r>
        <w:t xml:space="preserve">signals in the down-regulated proteome likely reflect tissue context rather than tumor-intrinsic</w:t>
      </w:r>
      <w:r>
        <w:t xml:space="preserve"> </w:t>
      </w:r>
      <w:r>
        <w:t xml:space="preserve">biology; hallmark terms such as Myogenesis and Adipogenesis should be read accordingly, although</w:t>
      </w:r>
      <w:r>
        <w:t xml:space="preserve"> </w:t>
      </w:r>
      <w:r>
        <w:t xml:space="preserve">sensitivity analyses excluding tissue-composition markers left the prioritized targets and the</w:t>
      </w:r>
      <w:r>
        <w:t xml:space="preserve"> </w:t>
      </w:r>
      <w:r>
        <w:t xml:space="preserve">oxidative-phosphorylation axis essentially unchanged. Data-independent acquisition with MinProb</w:t>
      </w:r>
      <w:r>
        <w:t xml:space="preserve"> </w:t>
      </w:r>
      <w:r>
        <w:t xml:space="preserve">imputation can mildly bias proteins absent from tumor tissue toward apparent under-abundance, an</w:t>
      </w:r>
      <w:r>
        <w:t xml:space="preserve"> </w:t>
      </w:r>
      <w:r>
        <w:t xml:space="preserve">effect that appears to be largely genuine biology and affected only a small minority of</w:t>
      </w:r>
      <w:r>
        <w:t xml:space="preserve"> </w:t>
      </w:r>
      <w:r>
        <w:t xml:space="preserve">under-abundant proteins. The differential-abundance component of the score is directional,</w:t>
      </w:r>
      <w:r>
        <w:t xml:space="preserve"> </w:t>
      </w:r>
      <w:r>
        <w:t xml:space="preserve">rewarding inhibition of over-abundant targets, so under-abundant or potential tumor-suppressor</w:t>
      </w:r>
      <w:r>
        <w:t xml:space="preserve"> </w:t>
      </w:r>
      <w:r>
        <w:t xml:space="preserve">nodes are structurally down-weighted and reach prioritization mainly through centrality, as for the</w:t>
      </w:r>
      <w:r>
        <w:t xml:space="preserve"> </w:t>
      </w:r>
      <w:r>
        <w:t xml:space="preserve">metabolic axis. Crucially, the external cohorts corroborate the direction of change in the</w:t>
      </w:r>
      <w:r>
        <w:t xml:space="preserve"> </w:t>
      </w:r>
      <w:r>
        <w:t xml:space="preserve">prioritized targets; they do not test drug efficacy or the candidate rank order, and four anchors</w:t>
      </w:r>
      <w:r>
        <w:t xml:space="preserve"> </w:t>
      </w:r>
      <w:r>
        <w:t xml:space="preserve">(PDE6D, CA2, CDA, RPS11) were weakly concordant or discordant and should be treated as</w:t>
      </w:r>
      <w:r>
        <w:t xml:space="preserve"> </w:t>
      </w:r>
      <w:r>
        <w:t xml:space="preserve">lower-confidence nominations. Finally, this is an in silico prioritization: the candidates are</w:t>
      </w:r>
      <w:r>
        <w:t xml:space="preserve"> </w:t>
      </w:r>
      <w:r>
        <w:t xml:space="preserve">hypotheses, and functional preclinical validation will be required, particularly for the</w:t>
      </w:r>
      <w:r>
        <w:t xml:space="preserve"> </w:t>
      </w:r>
      <w:r>
        <w:t xml:space="preserve">under-explored epigenetic and proteasome axes. Within these bounds, the study offers a credible,</w:t>
      </w:r>
      <w:r>
        <w:t xml:space="preserve"> </w:t>
      </w:r>
      <w:r>
        <w:t xml:space="preserve">mechanism-organized set of repurposing candidates and a prioritized agenda for preclinical and</w:t>
      </w:r>
      <w:r>
        <w:t xml:space="preserve"> </w:t>
      </w:r>
      <w:r>
        <w:t xml:space="preserve">combination-trial follow-up in HNSCC.</w:t>
      </w:r>
    </w:p>
    <w:bookmarkEnd w:id="37"/>
    <w:bookmarkEnd w:id="38"/>
    <w:bookmarkStart w:id="57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numPr>
          <w:ilvl w:val="0"/>
          <w:numId w:val="1001"/>
        </w:numPr>
        <w:pStyle w:val="Compact"/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numPr>
          <w:ilvl w:val="0"/>
          <w:numId w:val="1002"/>
        </w:numPr>
        <w:pStyle w:val="Compact"/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numPr>
          <w:ilvl w:val="0"/>
          <w:numId w:val="1003"/>
        </w:numPr>
        <w:pStyle w:val="Compact"/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(Huang et al. 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57"/>
    <w:bookmarkStart w:id="58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LOD-stable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Cetuximab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Nimotuzumab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Panitumumab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Gefitinib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Lapatinib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Afatinib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Erlotinib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OXPHOS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NDUFS2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Proteasome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PSMA2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MMP9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Mt-3724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Azacitidine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DNMT1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PDE6D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Mitapivat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ALDH5A1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IMPDH2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Cs/>
          <w:i/>
        </w:rPr>
        <w:t xml:space="preserve">Assembled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results/tables/pub/main/Tab4_EGFR_validation.tsv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Tab5_novel_candidates_by_module.tsv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60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59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60"/>
    <w:bookmarkStart w:id="62" w:name="ref-ang2010"/>
    <w:p>
      <w:pPr>
        <w:pStyle w:val="Bibliography"/>
      </w:pPr>
      <w:r>
        <w:t xml:space="preserve">Ang, K Kian, Jonathan Harris, Richard Wheeler, Randal Weber, David I Rosenthal, Phuc Felix Nguyen-Tân, William H Westra, Christine H Chung, et al.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Cs/>
          <w:i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61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62"/>
    <w:bookmarkStart w:id="64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63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64"/>
    <w:bookmarkStart w:id="66" w:name="ref-bear2025"/>
    <w:p>
      <w:pPr>
        <w:pStyle w:val="Bibliography"/>
      </w:pPr>
      <w:r>
        <w:t xml:space="preserve">Bear, Harry D, Xiaoyan Deng, Dipankar Bandyopadhyay, Michael Idowu, Taylor M Jenkins, Maciej Kmieciak, Monique Williams, et al. 2025.</w:t>
      </w:r>
      <w:r>
        <w:t xml:space="preserve"> </w:t>
      </w:r>
      <w:r>
        <w:t xml:space="preserve">“T-Cell Immune Checkpoint Inhibition Plus Hypomethylation for Locally Advanced HER2-Negative Breast Cancer: A Phase 2 Neoadjuvant Window Trial of Decitabine and Pembrolizumab Followed by Standard Neoadjuvant Chemotherapy.”</w:t>
      </w:r>
      <w:r>
        <w:t xml:space="preserve"> </w:t>
      </w:r>
      <w:r>
        <w:rPr>
          <w:iCs/>
          <w:i/>
        </w:rPr>
        <w:t xml:space="preserve">Journal for ImmunoTherapy of Cancer</w:t>
      </w:r>
      <w:r>
        <w:t xml:space="preserve"> </w:t>
      </w:r>
      <w:r>
        <w:t xml:space="preserve">13 (2): e010294.</w:t>
      </w:r>
      <w:r>
        <w:t xml:space="preserve"> </w:t>
      </w:r>
      <w:hyperlink r:id="rId65">
        <w:r>
          <w:rPr>
            <w:rStyle w:val="Hyperlink"/>
          </w:rPr>
          <w:t xml:space="preserve">https://doi.org/10.1136/jitc-2024-010294</w:t>
        </w:r>
      </w:hyperlink>
      <w:r>
        <w:t xml:space="preserve">.</w:t>
      </w:r>
    </w:p>
    <w:bookmarkEnd w:id="66"/>
    <w:bookmarkStart w:id="68" w:name="ref-bhatia2023"/>
    <w:p>
      <w:pPr>
        <w:pStyle w:val="Bibliography"/>
      </w:pPr>
      <w:r>
        <w:t xml:space="preserve">Bhatia, Aarti, and Barbara Burtness. 2023.</w:t>
      </w:r>
      <w:r>
        <w:t xml:space="preserve"> </w:t>
      </w:r>
      <w:r>
        <w:t xml:space="preserve">“Treating Head and Neck Cancer in the Age of Immunotherapy: A 2023 Update.”</w:t>
      </w:r>
      <w:r>
        <w:t xml:space="preserve"> </w:t>
      </w:r>
      <w:r>
        <w:rPr>
          <w:iCs/>
          <w:i/>
        </w:rPr>
        <w:t xml:space="preserve">Drugs</w:t>
      </w:r>
      <w:r>
        <w:t xml:space="preserve"> </w:t>
      </w:r>
      <w:r>
        <w:t xml:space="preserve">83 (3): 217–48.</w:t>
      </w:r>
      <w:r>
        <w:t xml:space="preserve"> </w:t>
      </w:r>
      <w:hyperlink r:id="rId67">
        <w:r>
          <w:rPr>
            <w:rStyle w:val="Hyperlink"/>
          </w:rPr>
          <w:t xml:space="preserve">https://doi.org/10.1007/s40265-023-01835-2</w:t>
        </w:r>
      </w:hyperlink>
      <w:r>
        <w:t xml:space="preserve">.</w:t>
      </w:r>
    </w:p>
    <w:bookmarkEnd w:id="68"/>
    <w:bookmarkStart w:id="70" w:name="ref-bray2024"/>
    <w:p>
      <w:pPr>
        <w:pStyle w:val="Bibliography"/>
      </w:pPr>
      <w:r>
        <w:t xml:space="preserve">Bray, Freddie, Mathieu Laversanne, Hyuna Sung, Jacques Ferlay, Rebecca L Siegel, Isabelle Soerjomataram, and Ahmedin Jemal. 2024.</w:t>
      </w:r>
      <w:r>
        <w:t xml:space="preserve"> </w:t>
      </w:r>
      <w:r>
        <w:t xml:space="preserve">“Global Cancer Statistics 2022: GLOBOCAN Estimates of Incidence and Mortality Worldwide for 36 Cancers in 185 Countries.”</w:t>
      </w:r>
      <w:r>
        <w:t xml:space="preserve"> </w:t>
      </w:r>
      <w:r>
        <w:rPr>
          <w:iCs/>
          <w:i/>
        </w:rPr>
        <w:t xml:space="preserve">CA: A Cancer Journal for Clinicians</w:t>
      </w:r>
      <w:r>
        <w:t xml:space="preserve"> </w:t>
      </w:r>
      <w:r>
        <w:t xml:space="preserve">74 (3): 229–63.</w:t>
      </w:r>
      <w:r>
        <w:t xml:space="preserve"> </w:t>
      </w:r>
      <w:hyperlink r:id="rId69">
        <w:r>
          <w:rPr>
            <w:rStyle w:val="Hyperlink"/>
          </w:rPr>
          <w:t xml:space="preserve">https://doi.org/10.3322/caac.21834</w:t>
        </w:r>
      </w:hyperlink>
      <w:r>
        <w:t xml:space="preserve">.</w:t>
      </w:r>
    </w:p>
    <w:bookmarkEnd w:id="70"/>
    <w:bookmarkStart w:id="72" w:name="ref-burtness2019"/>
    <w:p>
      <w:pPr>
        <w:pStyle w:val="Bibliography"/>
      </w:pPr>
      <w:r>
        <w:t xml:space="preserve">Burtness, Barbara, Kevin J Harrington, Richard Greil, Denis Soulières, Makoto Tahara, Gilberto de Castro, Amanda Psyrri, Neus Basté, et al.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Cs/>
          <w:i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71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72"/>
    <w:bookmarkStart w:id="74" w:name="ref-cannon2024"/>
    <w:p>
      <w:pPr>
        <w:pStyle w:val="Bibliography"/>
      </w:pPr>
      <w:r>
        <w:t xml:space="preserve">Cannon, Matthew, James Stevenson, Kathryn Stahl, Rohit Basu, Adam Coffman, Susanna Kiwala, Joshua F McMichael, et al. 2024.</w:t>
      </w:r>
      <w:r>
        <w:t xml:space="preserve"> </w:t>
      </w:r>
      <w:r>
        <w:t xml:space="preserve">“DGIdb 5.0: Rebuilding the Drug-Gene Interaction Database for Precision Medicine and Drug Discovery Platforms.”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52 (D1): D1227–35.</w:t>
      </w:r>
      <w:r>
        <w:t xml:space="preserve"> </w:t>
      </w:r>
      <w:hyperlink r:id="rId73">
        <w:r>
          <w:rPr>
            <w:rStyle w:val="Hyperlink"/>
          </w:rPr>
          <w:t xml:space="preserve">https://doi.org/10.1093/nar/gkad1040</w:t>
        </w:r>
      </w:hyperlink>
      <w:r>
        <w:t xml:space="preserve">.</w:t>
      </w:r>
    </w:p>
    <w:bookmarkEnd w:id="74"/>
    <w:bookmarkStart w:id="76" w:name="ref-carosi2026"/>
    <w:p>
      <w:pPr>
        <w:pStyle w:val="Bibliography"/>
      </w:pPr>
      <w:r>
        <w:t xml:space="preserve">Carosi, Francesca, Daria Maria Filippini, Laura Fabbri, Andrea Carlini, Andrea Monte, Michela Sgarzi, Matteo Fermi, et al. 2026.</w:t>
      </w:r>
      <w:r>
        <w:t xml:space="preserve"> </w:t>
      </w:r>
      <w:r>
        <w:t xml:space="preserve">“Beyond EGFR Inhibition in Head and Neck Squamous Cell Carcinoma: Overcoming Resistance Mechanisms and Novel Therapeutic Frontiers.”</w:t>
      </w:r>
      <w:r>
        <w:t xml:space="preserve"> </w:t>
      </w:r>
      <w:r>
        <w:rPr>
          <w:iCs/>
          <w:i/>
        </w:rPr>
        <w:t xml:space="preserve">Critical Reviews in Oncology/Hematology</w:t>
      </w:r>
      <w:r>
        <w:t xml:space="preserve"> </w:t>
      </w:r>
      <w:r>
        <w:t xml:space="preserve">221: 105207.</w:t>
      </w:r>
      <w:r>
        <w:t xml:space="preserve"> </w:t>
      </w:r>
      <w:hyperlink r:id="rId75">
        <w:r>
          <w:rPr>
            <w:rStyle w:val="Hyperlink"/>
          </w:rPr>
          <w:t xml:space="preserve">https://doi.org/10.1016/j.critrevonc.2026.105207</w:t>
        </w:r>
      </w:hyperlink>
      <w:r>
        <w:t xml:space="preserve">.</w:t>
      </w:r>
    </w:p>
    <w:bookmarkEnd w:id="76"/>
    <w:bookmarkStart w:id="78" w:name="ref-crist2022"/>
    <w:p>
      <w:pPr>
        <w:pStyle w:val="Bibliography"/>
      </w:pPr>
      <w:r>
        <w:t xml:space="preserve">Crist, McKenzie, Benyamin Yaniv, Sarah Palackdharry, Maria A Lehn, Mario Medvedovic, Timothy Stone, Shuchi Gulati, et al. 2022.</w:t>
      </w:r>
      <w:r>
        <w:t xml:space="preserve"> </w:t>
      </w:r>
      <w:r>
        <w:t xml:space="preserve">“Metformin Increases Natural Killer Cell Functions in Head and Neck Squamous Cell Carcinoma Through CXCL1 Inhibition.”</w:t>
      </w:r>
      <w:r>
        <w:t xml:space="preserve"> </w:t>
      </w:r>
      <w:r>
        <w:rPr>
          <w:iCs/>
          <w:i/>
        </w:rPr>
        <w:t xml:space="preserve">Journal for ImmunoTherapy of Cancer</w:t>
      </w:r>
      <w:r>
        <w:t xml:space="preserve"> </w:t>
      </w:r>
      <w:r>
        <w:t xml:space="preserve">10 (11): e005632.</w:t>
      </w:r>
      <w:r>
        <w:t xml:space="preserve"> </w:t>
      </w:r>
      <w:hyperlink r:id="rId77">
        <w:r>
          <w:rPr>
            <w:rStyle w:val="Hyperlink"/>
          </w:rPr>
          <w:t xml:space="preserve">https://doi.org/10.1136/jitc-2022-005632</w:t>
        </w:r>
      </w:hyperlink>
      <w:r>
        <w:t xml:space="preserve">.</w:t>
      </w:r>
    </w:p>
    <w:bookmarkEnd w:id="78"/>
    <w:bookmarkStart w:id="80" w:name="ref-curry2018"/>
    <w:p>
      <w:pPr>
        <w:pStyle w:val="Bibliography"/>
      </w:pPr>
      <w:r>
        <w:t xml:space="preserve">Curry, Joseph M, Jennifer Johnson, Mehri Mollaee, Patrick Tassone, Dev Amin, Alexander Knops, Diana Whitaker-Menezes, et al. 2018.</w:t>
      </w:r>
      <w:r>
        <w:t xml:space="preserve"> </w:t>
      </w:r>
      <w:r>
        <w:t xml:space="preserve">“Metformin Clinical Trial in HPV+ and HPV- Head and Neck Squamous Cell Carcinoma: Impact on Cancer Cell Apoptosis and Immune Infiltrate.”</w:t>
      </w:r>
      <w:r>
        <w:t xml:space="preserve"> </w:t>
      </w:r>
      <w:r>
        <w:rPr>
          <w:iCs/>
          <w:i/>
        </w:rPr>
        <w:t xml:space="preserve">Frontiers in Oncology</w:t>
      </w:r>
      <w:r>
        <w:t xml:space="preserve"> </w:t>
      </w:r>
      <w:r>
        <w:t xml:space="preserve">8: 436.</w:t>
      </w:r>
      <w:r>
        <w:t xml:space="preserve"> </w:t>
      </w:r>
      <w:hyperlink r:id="rId79">
        <w:r>
          <w:rPr>
            <w:rStyle w:val="Hyperlink"/>
          </w:rPr>
          <w:t xml:space="preserve">https://doi.org/10.3389/fonc.2018.00436</w:t>
        </w:r>
      </w:hyperlink>
      <w:r>
        <w:t xml:space="preserve">.</w:t>
      </w:r>
    </w:p>
    <w:bookmarkEnd w:id="80"/>
    <w:bookmarkStart w:id="82" w:name="ref-huang2021"/>
    <w:p>
      <w:pPr>
        <w:pStyle w:val="Bibliography"/>
      </w:pPr>
      <w:r>
        <w:t xml:space="preserve">Huang, Chen, Lijun Chen, Sara R Savage, Rodrigo Vargas Eguez, Yongchao Dou, Yize Li, et al.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Cs/>
          <w:i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81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82"/>
    <w:bookmarkStart w:id="84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Cs/>
          <w:i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83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84"/>
    <w:bookmarkStart w:id="86" w:name="ref-kemnade2023"/>
    <w:p>
      <w:pPr>
        <w:pStyle w:val="Bibliography"/>
      </w:pPr>
      <w:r>
        <w:t xml:space="preserve">Kemnade, Jan O, Marcus Florez, Anita Sabichi, Jun Zhang, Pavan Jhaveri, George Chen, Albert Chen, et al. 2023.</w:t>
      </w:r>
      <w:r>
        <w:t xml:space="preserve"> </w:t>
      </w:r>
      <w:r>
        <w:t xml:space="preserve">“Phase i / II Trial of Metformin as a Chemo-Radiosensitizer in a Head and Neck Cancer Patient Population.”</w:t>
      </w:r>
      <w:r>
        <w:t xml:space="preserve"> </w:t>
      </w:r>
      <w:r>
        <w:rPr>
          <w:iCs/>
          <w:i/>
        </w:rPr>
        <w:t xml:space="preserve">Oral Oncology</w:t>
      </w:r>
      <w:r>
        <w:t xml:space="preserve"> </w:t>
      </w:r>
      <w:r>
        <w:t xml:space="preserve">145: 106536.</w:t>
      </w:r>
      <w:r>
        <w:t xml:space="preserve"> </w:t>
      </w:r>
      <w:hyperlink r:id="rId85">
        <w:r>
          <w:rPr>
            <w:rStyle w:val="Hyperlink"/>
          </w:rPr>
          <w:t xml:space="preserve">https://doi.org/10.1016/j.oraloncology.2023.106536</w:t>
        </w:r>
      </w:hyperlink>
      <w:r>
        <w:t xml:space="preserve">.</w:t>
      </w:r>
    </w:p>
    <w:bookmarkEnd w:id="86"/>
    <w:bookmarkStart w:id="88" w:name="ref-lamb2006"/>
    <w:p>
      <w:pPr>
        <w:pStyle w:val="Bibliography"/>
      </w:pPr>
      <w:r>
        <w:t xml:space="preserve">Lamb, Justin, Emily D Crawford, David Peck, Joshua W Modell, Irene C Blat, Matthew J Wrobel, Jim Lerner, et al.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Cs/>
          <w:i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87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88"/>
    <w:bookmarkStart w:id="90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Cs/>
          <w:i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89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90"/>
    <w:bookmarkStart w:id="92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91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92"/>
    <w:bookmarkStart w:id="94" w:name="ref-mendez2019"/>
    <w:p>
      <w:pPr>
        <w:pStyle w:val="Bibliography"/>
      </w:pPr>
      <w:r>
        <w:t xml:space="preserve">Mendez, David, Anna Gaulton, A Patrícia Bento, Jon Chambers, Marleen De Veij, Eloy Félix, María Paula Magariños, et al.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93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94"/>
    <w:bookmarkStart w:id="96" w:name="ref-ochoa2021"/>
    <w:p>
      <w:pPr>
        <w:pStyle w:val="Bibliography"/>
      </w:pPr>
      <w:r>
        <w:t xml:space="preserve">Ochoa, David, Andrew Hercules, Miguel Carmona, Daniel Suveges, Asier Gonzalez-Uriarte, Cinzia Malangone, Alfredo Miranda, et al.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95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96"/>
    <w:bookmarkStart w:id="98" w:name="ref-pujaltemartin2024"/>
    <w:p>
      <w:pPr>
        <w:pStyle w:val="Bibliography"/>
      </w:pPr>
      <w:r>
        <w:t xml:space="preserve">Pujalte-Martin, Marc, Amine Belaïd, Simon Bost, Michel Kahi, Pascal Peraldi, Matthieu Rouleau, Nathalie M Mazure, and Frédéric Bost. 2024.</w:t>
      </w:r>
      <w:r>
        <w:t xml:space="preserve"> </w:t>
      </w:r>
      <w:r>
        <w:t xml:space="preserve">“Targeting Cancer and Immune Cell Metabolism with the Complex i Inhibitors Metformin and IACS-010759.”</w:t>
      </w:r>
      <w:r>
        <w:t xml:space="preserve"> </w:t>
      </w:r>
      <w:r>
        <w:rPr>
          <w:iCs/>
          <w:i/>
        </w:rPr>
        <w:t xml:space="preserve">Molecular Oncology</w:t>
      </w:r>
      <w:r>
        <w:t xml:space="preserve"> </w:t>
      </w:r>
      <w:r>
        <w:t xml:space="preserve">18 (7): 1719–38.</w:t>
      </w:r>
      <w:r>
        <w:t xml:space="preserve"> </w:t>
      </w:r>
      <w:hyperlink r:id="rId97">
        <w:r>
          <w:rPr>
            <w:rStyle w:val="Hyperlink"/>
          </w:rPr>
          <w:t xml:space="preserve">https://doi.org/10.1002/1878-0261.13583</w:t>
        </w:r>
      </w:hyperlink>
      <w:r>
        <w:t xml:space="preserve">.</w:t>
      </w:r>
    </w:p>
    <w:bookmarkEnd w:id="98"/>
    <w:bookmarkStart w:id="100" w:name="ref-pushpakom2019"/>
    <w:p>
      <w:pPr>
        <w:pStyle w:val="Bibliography"/>
      </w:pPr>
      <w:r>
        <w:t xml:space="preserve">Pushpakom, Sudeep, Francesco Iorio, Patrick A Eyers, K Jane Escott, Shirley Hopper, Andrew Wells, Andrew Doig, Tim Guilliams, et al.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Cs/>
          <w:i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99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100"/>
    <w:bookmarkStart w:id="102" w:name="ref-ritchie2015"/>
    <w:p>
      <w:pPr>
        <w:pStyle w:val="Bibliography"/>
      </w:pPr>
      <w:r>
        <w:t xml:space="preserve">Ritchie, Matthew E, Belinda Phipson, Di Wu, Yifang Hu, Charity W Law, Wei Shi, and Gordon K Smyth.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101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102"/>
    <w:bookmarkStart w:id="104" w:name="ref-subramanian2017"/>
    <w:p>
      <w:pPr>
        <w:pStyle w:val="Bibliography"/>
      </w:pPr>
      <w:r>
        <w:t xml:space="preserve">Subramanian, Aravind, Rajiv Narayan, Steven M Corsello, David D Peck, Ted E Natoli, Xiaodong Lu, Joshua Gould, John F Davis, et al.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103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104"/>
    <w:bookmarkStart w:id="106" w:name="ref-subramanian2005"/>
    <w:p>
      <w:pPr>
        <w:pStyle w:val="Bibliography"/>
      </w:pPr>
      <w:r>
        <w:t xml:space="preserve">Subramanian, Aravind, Pablo Tamayo, Vamsi K Mootha, Sayan Mukherjee, Benjamin L Ebert, Michael A Gillette, Amanda Paulovich, et al.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105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106"/>
    <w:bookmarkStart w:id="108" w:name="ref-szklarczyk2023"/>
    <w:p>
      <w:pPr>
        <w:pStyle w:val="Bibliography"/>
      </w:pPr>
      <w:r>
        <w:t xml:space="preserve">Szklarczyk, Damian, Rebecca Kirsch, Mikaela Koutrouli, Katerina Nastou, Farrokh Mehryary, Radja Hachilif, Annika L Gable, et al.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107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108"/>
    <w:bookmarkStart w:id="110" w:name="ref-tanoli2025"/>
    <w:p>
      <w:pPr>
        <w:pStyle w:val="Bibliography"/>
      </w:pPr>
      <w:r>
        <w:t xml:space="preserve">Tanoli, Ziaurrehman, Adrià Fernández-Torras, Umut Onur Özcan, Aleksandr Kushnir, Kristen Michelle Nader, et al. 2025.</w:t>
      </w:r>
      <w:r>
        <w:t xml:space="preserve"> </w:t>
      </w:r>
      <w:r>
        <w:t xml:space="preserve">“Computational Drug Repurposing: Approaches, Evaluation of in Silico Resources and Case Studies.”</w:t>
      </w:r>
      <w:r>
        <w:t xml:space="preserve"> </w:t>
      </w:r>
      <w:r>
        <w:rPr>
          <w:iCs/>
          <w:i/>
        </w:rPr>
        <w:t xml:space="preserve">Nature Reviews Drug Discovery</w:t>
      </w:r>
      <w:r>
        <w:t xml:space="preserve"> </w:t>
      </w:r>
      <w:r>
        <w:t xml:space="preserve">24 (7): 521–42.</w:t>
      </w:r>
      <w:r>
        <w:t xml:space="preserve"> </w:t>
      </w:r>
      <w:hyperlink r:id="rId109">
        <w:r>
          <w:rPr>
            <w:rStyle w:val="Hyperlink"/>
          </w:rPr>
          <w:t xml:space="preserve">https://doi.org/10.1038/s41573-025-01164-x</w:t>
        </w:r>
      </w:hyperlink>
      <w:r>
        <w:t xml:space="preserve">.</w:t>
      </w:r>
    </w:p>
    <w:bookmarkEnd w:id="110"/>
    <w:bookmarkStart w:id="112" w:name="ref-uppaluri2025"/>
    <w:p>
      <w:pPr>
        <w:pStyle w:val="Bibliography"/>
      </w:pPr>
      <w:r>
        <w:t xml:space="preserve">Uppaluri, Ravindra, Robert I Haddad, Yungan Tao, et al.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Cs/>
          <w:i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111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112"/>
    <w:bookmarkStart w:id="114" w:name="ref-wu2021"/>
    <w:p>
      <w:pPr>
        <w:pStyle w:val="Bibliography"/>
      </w:pPr>
      <w:r>
        <w:t xml:space="preserve">Wu, Tianzhi, Erqiang Hu, Shuangbin Xu, Meijun Chen, Pingfan Guo, Zehan Dai, Tingze Feng, et al.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Cs/>
          <w:i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113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114"/>
    <w:bookmarkStart w:id="116" w:name="ref-zang2012"/>
    <w:p>
      <w:pPr>
        <w:pStyle w:val="Bibliography"/>
      </w:pPr>
      <w:r>
        <w:t xml:space="preserve">Zang, Yan, Sufi M Thomas, Elena T Chan, Christopher J Kirk, Maria L Freilino, Hannah M DeLancey, Jennifer R Grandis, Changyou Li, and Daniel E Johnson. 2012.</w:t>
      </w:r>
      <w:r>
        <w:t xml:space="preserve"> </w:t>
      </w:r>
      <w:r>
        <w:t xml:space="preserve">“The Next Generation Proteasome Inhibitors Carfilzomib and Oprozomib Activate Prosurvival Autophagy via Induction of the Unfolded Protein Response and ATF4.”</w:t>
      </w:r>
      <w:r>
        <w:t xml:space="preserve"> </w:t>
      </w:r>
      <w:r>
        <w:rPr>
          <w:iCs/>
          <w:i/>
        </w:rPr>
        <w:t xml:space="preserve">Autophagy</w:t>
      </w:r>
      <w:r>
        <w:t xml:space="preserve"> </w:t>
      </w:r>
      <w:r>
        <w:t xml:space="preserve">8 (12): 1873–74.</w:t>
      </w:r>
      <w:r>
        <w:t xml:space="preserve"> </w:t>
      </w:r>
      <w:hyperlink r:id="rId115">
        <w:r>
          <w:rPr>
            <w:rStyle w:val="Hyperlink"/>
          </w:rPr>
          <w:t xml:space="preserve">https://doi.org/10.4161/auto.22185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hyperlink" Id="rId97" Target="https://doi.org/10.1002/1878-0261.13583" TargetMode="External" /><Relationship Type="http://schemas.openxmlformats.org/officeDocument/2006/relationships/hyperlink" Id="rId67" Target="https://doi.org/10.1007/s40265-023-01835-2" TargetMode="External" /><Relationship Type="http://schemas.openxmlformats.org/officeDocument/2006/relationships/hyperlink" Id="rId71" Target="https://doi.org/10.1016/S0140-6736(19)32591-7" TargetMode="External" /><Relationship Type="http://schemas.openxmlformats.org/officeDocument/2006/relationships/hyperlink" Id="rId81" Target="https://doi.org/10.1016/j.ccell.2020.12.007" TargetMode="External" /><Relationship Type="http://schemas.openxmlformats.org/officeDocument/2006/relationships/hyperlink" Id="rId103" Target="https://doi.org/10.1016/j.cell.2017.10.049" TargetMode="External" /><Relationship Type="http://schemas.openxmlformats.org/officeDocument/2006/relationships/hyperlink" Id="rId89" Target="https://doi.org/10.1016/j.cels.2015.12.004" TargetMode="External" /><Relationship Type="http://schemas.openxmlformats.org/officeDocument/2006/relationships/hyperlink" Id="rId75" Target="https://doi.org/10.1016/j.critrevonc.2026.105207" TargetMode="External" /><Relationship Type="http://schemas.openxmlformats.org/officeDocument/2006/relationships/hyperlink" Id="rId85" Target="https://doi.org/10.1016/j.oraloncology.2023.106536" TargetMode="External" /><Relationship Type="http://schemas.openxmlformats.org/officeDocument/2006/relationships/hyperlink" Id="rId113" Target="https://doi.org/10.1016/j.xinn.2021.100141" TargetMode="External" /><Relationship Type="http://schemas.openxmlformats.org/officeDocument/2006/relationships/hyperlink" Id="rId59" Target="https://doi.org/10.1038/nature19949" TargetMode="External" /><Relationship Type="http://schemas.openxmlformats.org/officeDocument/2006/relationships/hyperlink" Id="rId99" Target="https://doi.org/10.1038/nrd.2018.168" TargetMode="External" /><Relationship Type="http://schemas.openxmlformats.org/officeDocument/2006/relationships/hyperlink" Id="rId63" Target="https://doi.org/10.1038/nrg2918" TargetMode="External" /><Relationship Type="http://schemas.openxmlformats.org/officeDocument/2006/relationships/hyperlink" Id="rId83" Target="https://doi.org/10.1038/s41572-020-00224-3" TargetMode="External" /><Relationship Type="http://schemas.openxmlformats.org/officeDocument/2006/relationships/hyperlink" Id="rId109" Target="https://doi.org/10.1038/s41573-025-01164-x" TargetMode="External" /><Relationship Type="http://schemas.openxmlformats.org/officeDocument/2006/relationships/hyperlink" Id="rId61" Target="https://doi.org/10.1056/NEJMoa0912217" TargetMode="External" /><Relationship Type="http://schemas.openxmlformats.org/officeDocument/2006/relationships/hyperlink" Id="rId111" Target="https://doi.org/10.1056/NEJMoa2415434" TargetMode="External" /><Relationship Type="http://schemas.openxmlformats.org/officeDocument/2006/relationships/hyperlink" Id="rId105" Target="https://doi.org/10.1073/pnas.0506580102" TargetMode="External" /><Relationship Type="http://schemas.openxmlformats.org/officeDocument/2006/relationships/hyperlink" Id="rId95" Target="https://doi.org/10.1093/nar/gkaa1027" TargetMode="External" /><Relationship Type="http://schemas.openxmlformats.org/officeDocument/2006/relationships/hyperlink" Id="rId107" Target="https://doi.org/10.1093/nar/gkac1000" TargetMode="External" /><Relationship Type="http://schemas.openxmlformats.org/officeDocument/2006/relationships/hyperlink" Id="rId73" Target="https://doi.org/10.1093/nar/gkad1040" TargetMode="External" /><Relationship Type="http://schemas.openxmlformats.org/officeDocument/2006/relationships/hyperlink" Id="rId91" Target="https://doi.org/10.1093/nar/gkaf373" TargetMode="External" /><Relationship Type="http://schemas.openxmlformats.org/officeDocument/2006/relationships/hyperlink" Id="rId101" Target="https://doi.org/10.1093/nar/gkv007" TargetMode="External" /><Relationship Type="http://schemas.openxmlformats.org/officeDocument/2006/relationships/hyperlink" Id="rId93" Target="https://doi.org/10.1093/nar/gky1075" TargetMode="External" /><Relationship Type="http://schemas.openxmlformats.org/officeDocument/2006/relationships/hyperlink" Id="rId87" Target="https://doi.org/10.1126/science.1132939" TargetMode="External" /><Relationship Type="http://schemas.openxmlformats.org/officeDocument/2006/relationships/hyperlink" Id="rId77" Target="https://doi.org/10.1136/jitc-2022-005632" TargetMode="External" /><Relationship Type="http://schemas.openxmlformats.org/officeDocument/2006/relationships/hyperlink" Id="rId65" Target="https://doi.org/10.1136/jitc-2024-010294" TargetMode="External" /><Relationship Type="http://schemas.openxmlformats.org/officeDocument/2006/relationships/hyperlink" Id="rId69" Target="https://doi.org/10.3322/caac.21834" TargetMode="External" /><Relationship Type="http://schemas.openxmlformats.org/officeDocument/2006/relationships/hyperlink" Id="rId79" Target="https://doi.org/10.3389/fonc.2018.00436" TargetMode="External" /><Relationship Type="http://schemas.openxmlformats.org/officeDocument/2006/relationships/hyperlink" Id="rId115" Target="https://doi.org/10.4161/auto.2218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doi.org/10.1002/1878-0261.13583" TargetMode="External" /><Relationship Type="http://schemas.openxmlformats.org/officeDocument/2006/relationships/hyperlink" Id="rId67" Target="https://doi.org/10.1007/s40265-023-01835-2" TargetMode="External" /><Relationship Type="http://schemas.openxmlformats.org/officeDocument/2006/relationships/hyperlink" Id="rId71" Target="https://doi.org/10.1016/S0140-6736(19)32591-7" TargetMode="External" /><Relationship Type="http://schemas.openxmlformats.org/officeDocument/2006/relationships/hyperlink" Id="rId81" Target="https://doi.org/10.1016/j.ccell.2020.12.007" TargetMode="External" /><Relationship Type="http://schemas.openxmlformats.org/officeDocument/2006/relationships/hyperlink" Id="rId103" Target="https://doi.org/10.1016/j.cell.2017.10.049" TargetMode="External" /><Relationship Type="http://schemas.openxmlformats.org/officeDocument/2006/relationships/hyperlink" Id="rId89" Target="https://doi.org/10.1016/j.cels.2015.12.004" TargetMode="External" /><Relationship Type="http://schemas.openxmlformats.org/officeDocument/2006/relationships/hyperlink" Id="rId75" Target="https://doi.org/10.1016/j.critrevonc.2026.105207" TargetMode="External" /><Relationship Type="http://schemas.openxmlformats.org/officeDocument/2006/relationships/hyperlink" Id="rId85" Target="https://doi.org/10.1016/j.oraloncology.2023.106536" TargetMode="External" /><Relationship Type="http://schemas.openxmlformats.org/officeDocument/2006/relationships/hyperlink" Id="rId113" Target="https://doi.org/10.1016/j.xinn.2021.100141" TargetMode="External" /><Relationship Type="http://schemas.openxmlformats.org/officeDocument/2006/relationships/hyperlink" Id="rId59" Target="https://doi.org/10.1038/nature19949" TargetMode="External" /><Relationship Type="http://schemas.openxmlformats.org/officeDocument/2006/relationships/hyperlink" Id="rId99" Target="https://doi.org/10.1038/nrd.2018.168" TargetMode="External" /><Relationship Type="http://schemas.openxmlformats.org/officeDocument/2006/relationships/hyperlink" Id="rId63" Target="https://doi.org/10.1038/nrg2918" TargetMode="External" /><Relationship Type="http://schemas.openxmlformats.org/officeDocument/2006/relationships/hyperlink" Id="rId83" Target="https://doi.org/10.1038/s41572-020-00224-3" TargetMode="External" /><Relationship Type="http://schemas.openxmlformats.org/officeDocument/2006/relationships/hyperlink" Id="rId109" Target="https://doi.org/10.1038/s41573-025-01164-x" TargetMode="External" /><Relationship Type="http://schemas.openxmlformats.org/officeDocument/2006/relationships/hyperlink" Id="rId61" Target="https://doi.org/10.1056/NEJMoa0912217" TargetMode="External" /><Relationship Type="http://schemas.openxmlformats.org/officeDocument/2006/relationships/hyperlink" Id="rId111" Target="https://doi.org/10.1056/NEJMoa2415434" TargetMode="External" /><Relationship Type="http://schemas.openxmlformats.org/officeDocument/2006/relationships/hyperlink" Id="rId105" Target="https://doi.org/10.1073/pnas.0506580102" TargetMode="External" /><Relationship Type="http://schemas.openxmlformats.org/officeDocument/2006/relationships/hyperlink" Id="rId95" Target="https://doi.org/10.1093/nar/gkaa1027" TargetMode="External" /><Relationship Type="http://schemas.openxmlformats.org/officeDocument/2006/relationships/hyperlink" Id="rId107" Target="https://doi.org/10.1093/nar/gkac1000" TargetMode="External" /><Relationship Type="http://schemas.openxmlformats.org/officeDocument/2006/relationships/hyperlink" Id="rId73" Target="https://doi.org/10.1093/nar/gkad1040" TargetMode="External" /><Relationship Type="http://schemas.openxmlformats.org/officeDocument/2006/relationships/hyperlink" Id="rId91" Target="https://doi.org/10.1093/nar/gkaf373" TargetMode="External" /><Relationship Type="http://schemas.openxmlformats.org/officeDocument/2006/relationships/hyperlink" Id="rId101" Target="https://doi.org/10.1093/nar/gkv007" TargetMode="External" /><Relationship Type="http://schemas.openxmlformats.org/officeDocument/2006/relationships/hyperlink" Id="rId93" Target="https://doi.org/10.1093/nar/gky1075" TargetMode="External" /><Relationship Type="http://schemas.openxmlformats.org/officeDocument/2006/relationships/hyperlink" Id="rId87" Target="https://doi.org/10.1126/science.1132939" TargetMode="External" /><Relationship Type="http://schemas.openxmlformats.org/officeDocument/2006/relationships/hyperlink" Id="rId77" Target="https://doi.org/10.1136/jitc-2022-005632" TargetMode="External" /><Relationship Type="http://schemas.openxmlformats.org/officeDocument/2006/relationships/hyperlink" Id="rId65" Target="https://doi.org/10.1136/jitc-2024-010294" TargetMode="External" /><Relationship Type="http://schemas.openxmlformats.org/officeDocument/2006/relationships/hyperlink" Id="rId69" Target="https://doi.org/10.3322/caac.21834" TargetMode="External" /><Relationship Type="http://schemas.openxmlformats.org/officeDocument/2006/relationships/hyperlink" Id="rId79" Target="https://doi.org/10.3389/fonc.2018.00436" TargetMode="External" /><Relationship Type="http://schemas.openxmlformats.org/officeDocument/2006/relationships/hyperlink" Id="rId115" Target="https://doi.org/10.4161/auto.2218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2026-06-16T00:28:18Z</dcterms:created>
  <dcterms:modified xsi:type="dcterms:W3CDTF">2026-06-16T00:28:18Z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