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7df104631777e44d6eb0fc0c46edb5233ca053f"/>
    <w:p>
      <w:pPr>
        <w:pStyle w:val="Heading1"/>
      </w:pPr>
      <w:r>
        <w:t xml:space="preserve">Network-anchored proteomic drug repurposing in HNSCC (working draft, preview)</w:t>
      </w:r>
    </w:p>
    <w:p>
      <w:pPr>
        <w:pStyle w:val="FirstParagraph"/>
      </w:pPr>
      <w:r>
        <w:t xml:space="preserve">Partial preview for pipeline testing: Introduction, Methods, Results, Discussion, main-body figures (Fig 1-6) and the prioritized-candidate main table (Table 1). Abstract, Title and complete Methods/Results citations are pending (WRITING_PLAN.md steps 6-8). Citations shown are PubMed-verified; the bibliography is generated by pandoc / scanned in Zotero.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Head and neck squamous cell carcinoma (HNSCC) is among the leading causes of cancer morbidity and</w:t>
      </w:r>
      <w:r>
        <w:t xml:space="preserve"> </w:t>
      </w:r>
      <w:r>
        <w:t xml:space="preserve">mortality worldwide, and overall survival remains limited, particularly in locally advanced and</w:t>
      </w:r>
      <w:r>
        <w:t xml:space="preserve"> </w:t>
      </w:r>
      <w:r>
        <w:t xml:space="preserve">recurrent disease.</w:t>
      </w:r>
      <w:r>
        <w:t xml:space="preserve"> </w:t>
      </w:r>
      <w:r>
        <w:t xml:space="preserve">(Johnson et al. 2020; Bray et al. 2024)</w:t>
      </w:r>
      <w:r>
        <w:t xml:space="preserve"> </w:t>
      </w:r>
      <w:r>
        <w:t xml:space="preserve">Despite advances across surgery,</w:t>
      </w:r>
      <w:r>
        <w:t xml:space="preserve"> </w:t>
      </w:r>
      <w:r>
        <w:t xml:space="preserve">radiotherapy, chemotherapy, and immunotherapy, outcomes are still poor, a reflection of how</w:t>
      </w:r>
      <w:r>
        <w:t xml:space="preserve"> </w:t>
      </w:r>
      <w:r>
        <w:t xml:space="preserve">biologically complex the disease is.</w:t>
      </w:r>
      <w:r>
        <w:t xml:space="preserve"> </w:t>
      </w:r>
      <w:r>
        <w:t xml:space="preserve">(Johnson et al. 2020)</w:t>
      </w:r>
    </w:p>
    <w:p>
      <w:pPr>
        <w:pStyle w:val="BodyText"/>
      </w:pPr>
      <w:r>
        <w:t xml:space="preserve">Over the past decade, management has shifted with the introduction of immune-checkpoint</w:t>
      </w:r>
      <w:r>
        <w:t xml:space="preserve"> </w:t>
      </w:r>
      <w:r>
        <w:t xml:space="preserve">inhibitors. The phase 3 KEYNOTE-048 trial established pembrolizumab (as monotherapy in</w:t>
      </w:r>
      <w:r>
        <w:t xml:space="preserve"> </w:t>
      </w:r>
      <w:r>
        <w:t xml:space="preserve">PD-L1-positive patients or combined with platinum/5-fluorouracil) as the first-line standard for</w:t>
      </w:r>
      <w:r>
        <w:t xml:space="preserve"> </w:t>
      </w:r>
      <w:r>
        <w:t xml:space="preserve">recurrent or metastatic disease, with patient selection guided by the combined positive score</w:t>
      </w:r>
      <w:r>
        <w:t xml:space="preserve"> </w:t>
      </w:r>
      <w:r>
        <w:t xml:space="preserve">(CPS).</w:t>
      </w:r>
      <w:r>
        <w:t xml:space="preserve"> </w:t>
      </w:r>
      <w:r>
        <w:t xml:space="preserve">(</w:t>
      </w:r>
      <w:r>
        <w:t xml:space="preserve">Burtness et al.</w:t>
      </w:r>
      <w:r>
        <w:t xml:space="preserve"> </w:t>
      </w:r>
      <w:r>
        <w:t xml:space="preserve">2019)</w:t>
      </w:r>
      <w:r>
        <w:t xml:space="preserve"> </w:t>
      </w:r>
      <w:r>
        <w:t xml:space="preserve">More recently, KEYNOTE-689 reported that perioperative</w:t>
      </w:r>
      <w:r>
        <w:t xml:space="preserve"> </w:t>
      </w:r>
      <w:r>
        <w:t xml:space="preserve">pembrolizumab added to standard of care significantly improves event-free survival in</w:t>
      </w:r>
      <w:r>
        <w:t xml:space="preserve"> </w:t>
      </w:r>
      <w:r>
        <w:t xml:space="preserve">locally advanced, resectable disease, a setting where progress had been comparatively slow.</w:t>
      </w:r>
      <w:r>
        <w:t xml:space="preserve"> </w:t>
      </w:r>
      <w:r>
        <w:t xml:space="preserve">(</w:t>
      </w:r>
      <w:r>
        <w:t xml:space="preserve">Uppaluri et al.</w:t>
      </w:r>
      <w:r>
        <w:t xml:space="preserve"> </w:t>
      </w:r>
      <w:r>
        <w:t xml:space="preserve">2025)</w:t>
      </w:r>
      <w:r>
        <w:t xml:space="preserve"> </w:t>
      </w:r>
      <w:r>
        <w:t xml:space="preserve">These advances highlight the need to find new molecular signatures</w:t>
      </w:r>
      <w:r>
        <w:t xml:space="preserve"> </w:t>
      </w:r>
      <w:r>
        <w:t xml:space="preserve">and therapeutic targets to improve systemic and perioperative treatment.</w:t>
      </w:r>
    </w:p>
    <w:p>
      <w:pPr>
        <w:pStyle w:val="BodyText"/>
      </w:pPr>
      <w:r>
        <w:t xml:space="preserve">A central challenge in HNSCC is its molecular heterogeneity. The distinction between</w:t>
      </w:r>
      <w:r>
        <w:t xml:space="preserve"> </w:t>
      </w:r>
      <w:r>
        <w:t xml:space="preserve">human-papillomavirus (HPV)-associated tumors and those linked to tobacco and alcohol has defined</w:t>
      </w:r>
      <w:r>
        <w:t xml:space="preserve"> </w:t>
      </w:r>
      <w:r>
        <w:t xml:space="preserve">subgroups with substantial prognostic and biological differences, yet this stratification remains</w:t>
      </w:r>
      <w:r>
        <w:t xml:space="preserve"> </w:t>
      </w:r>
      <w:r>
        <w:t xml:space="preserve">insufficient to capture the functional complexity of the tumor.</w:t>
      </w:r>
      <w:r>
        <w:t xml:space="preserve"> </w:t>
      </w:r>
      <w:r>
        <w:t xml:space="preserve">(</w:t>
      </w:r>
      <w:r>
        <w:t xml:space="preserve">Ang et al.</w:t>
      </w:r>
      <w:r>
        <w:t xml:space="preserve"> </w:t>
      </w:r>
      <w:r>
        <w:t xml:space="preserve">2010)</w:t>
      </w:r>
      <w:r>
        <w:t xml:space="preserve"> </w:t>
      </w:r>
      <w:r>
        <w:t xml:space="preserve">Proteomics helps here because it gives a direct picture of the tumor’s functional state:</w:t>
      </w:r>
      <w:r>
        <w:t xml:space="preserve"> </w:t>
      </w:r>
      <w:r>
        <w:t xml:space="preserve">unlike genomic or transcriptomic profiles, the proteome reflects what cells are actually doing,</w:t>
      </w:r>
      <w:r>
        <w:t xml:space="preserve"> </w:t>
      </w:r>
      <w:r>
        <w:t xml:space="preserve">capturing both post-transcriptional and post-translational regulation.</w:t>
      </w:r>
      <w:r>
        <w:t xml:space="preserve"> </w:t>
      </w:r>
      <w:r>
        <w:t xml:space="preserve">(Aebersold and Mann 2016)</w:t>
      </w:r>
      <w:r>
        <w:t xml:space="preserve"> </w:t>
      </w:r>
      <w:r>
        <w:t xml:space="preserve">Proteomic studies have repeatedly found changes in EGFR signaling,</w:t>
      </w:r>
      <w:r>
        <w:t xml:space="preserve"> </w:t>
      </w:r>
      <w:r>
        <w:t xml:space="preserve">energy metabolism, and the tumor microenvironment in HNSCC.</w:t>
      </w:r>
      <w:r>
        <w:t xml:space="preserve"> </w:t>
      </w:r>
      <w:r>
        <w:t xml:space="preserve">(</w:t>
      </w:r>
      <w:r>
        <w:t xml:space="preserve">Huang et al.</w:t>
      </w:r>
      <w:r>
        <w:t xml:space="preserve"> </w:t>
      </w:r>
      <w:r>
        <w:t xml:space="preserve">2021)</w:t>
      </w:r>
    </w:p>
    <w:p>
      <w:pPr>
        <w:pStyle w:val="BodyText"/>
      </w:pPr>
      <w:r>
        <w:t xml:space="preserve">Drug repurposing, the reuse of approved drugs whose safety is already known, is an efficient way</w:t>
      </w:r>
      <w:r>
        <w:t xml:space="preserve"> </w:t>
      </w:r>
      <w:r>
        <w:t xml:space="preserve">to speed up the search for new treatment options, and combining a tumor’s molecular signature</w:t>
      </w:r>
      <w:r>
        <w:t xml:space="preserve"> </w:t>
      </w:r>
      <w:r>
        <w:t xml:space="preserve">with pharmacological-connectivity resources can point to drugs predicted to reverse the disease</w:t>
      </w:r>
      <w:r>
        <w:t xml:space="preserve"> </w:t>
      </w:r>
      <w:r>
        <w:t xml:space="preserve">state.</w:t>
      </w:r>
      <w:r>
        <w:t xml:space="preserve"> </w:t>
      </w:r>
      <w:r>
        <w:t xml:space="preserve">(</w:t>
      </w:r>
      <w:r>
        <w:t xml:space="preserve">Pushpakom et al.</w:t>
      </w:r>
      <w:r>
        <w:t xml:space="preserve"> </w:t>
      </w:r>
      <w:r>
        <w:t xml:space="preserve">2019;</w:t>
      </w:r>
      <w:r>
        <w:t xml:space="preserve"> </w:t>
      </w:r>
      <w:r>
        <w:t xml:space="preserve">Tanoli et al.</w:t>
      </w:r>
      <w:r>
        <w:t xml:space="preserve"> </w:t>
      </w:r>
      <w:r>
        <w:t xml:space="preserve">2025)</w:t>
      </w:r>
      <w:r>
        <w:t xml:space="preserve"> </w:t>
      </w:r>
      <w:r>
        <w:t xml:space="preserve">Connectivity-based approaches typically prioritize</w:t>
      </w:r>
      <w:r>
        <w:t xml:space="preserve"> </w:t>
      </w:r>
      <w:r>
        <w:t xml:space="preserve">candidates by how strongly a drug reverses the transcriptomic signature</w:t>
      </w:r>
      <w:r>
        <w:t xml:space="preserve"> </w:t>
      </w:r>
      <w:r>
        <w:t xml:space="preserve">(</w:t>
      </w:r>
      <w:r>
        <w:t xml:space="preserve">Lamb et al.</w:t>
      </w:r>
      <w:r>
        <w:t xml:space="preserve"> </w:t>
      </w:r>
      <w:r>
        <w:t xml:space="preserve">2006;</w:t>
      </w:r>
      <w:r>
        <w:t xml:space="preserve"> </w:t>
      </w:r>
      <w:r>
        <w:t xml:space="preserve">Subramanian et al.</w:t>
      </w:r>
      <w:r>
        <w:t xml:space="preserve"> </w:t>
      </w:r>
      <w:r>
        <w:t xml:space="preserve">2017; Marino et al. 2025)</w:t>
      </w:r>
      <w:r>
        <w:t xml:space="preserve">, while target-centric selection often relies on the size of</w:t>
      </w:r>
      <w:r>
        <w:t xml:space="preserve"> </w:t>
      </w:r>
      <w:r>
        <w:t xml:space="preserve">the protein or expression change. Ranking by signature reversal or effect size alone, however,</w:t>
      </w:r>
      <w:r>
        <w:t xml:space="preserve"> </w:t>
      </w:r>
      <w:r>
        <w:t xml:space="preserve">does not capture where a target sits in the tumor’s molecular network, a property that network</w:t>
      </w:r>
      <w:r>
        <w:t xml:space="preserve"> </w:t>
      </w:r>
      <w:r>
        <w:t xml:space="preserve">medicine links to biological importance</w:t>
      </w:r>
      <w:r>
        <w:t xml:space="preserve"> </w:t>
      </w:r>
      <w:r>
        <w:t xml:space="preserve">(Barabási et al. 2011)</w:t>
      </w:r>
      <w:r>
        <w:t xml:space="preserve">, and it leaves aside</w:t>
      </w:r>
      <w:r>
        <w:t xml:space="preserve"> </w:t>
      </w:r>
      <w:r>
        <w:t xml:space="preserve">whether the candidate drug can realistically be used in the clinic (approval status, regulatory</w:t>
      </w:r>
      <w:r>
        <w:t xml:space="preserve"> </w:t>
      </w:r>
      <w:r>
        <w:t xml:space="preserve">class) or whether the change in its target reproduces beyond a single cohort. A shortlist that is</w:t>
      </w:r>
      <w:r>
        <w:t xml:space="preserve"> </w:t>
      </w:r>
      <w:r>
        <w:t xml:space="preserve">both believable and usable for a translational reader needs an approach that brings these pieces</w:t>
      </w:r>
      <w:r>
        <w:t xml:space="preserve"> </w:t>
      </w:r>
      <w:r>
        <w:t xml:space="preserve">together: where the target sits in the network, how ready the drug is for the clinic, and whether</w:t>
      </w:r>
      <w:r>
        <w:t xml:space="preserve"> </w:t>
      </w:r>
      <w:r>
        <w:t xml:space="preserve">the signal reproduces across cohorts.</w:t>
      </w:r>
    </w:p>
    <w:p>
      <w:pPr>
        <w:pStyle w:val="BodyText"/>
      </w:pPr>
      <w:r>
        <w:t xml:space="preserve">Our aim was to build and prioritize a credible, mechanistically organized shortlist of</w:t>
      </w:r>
      <w:r>
        <w:t xml:space="preserve"> </w:t>
      </w:r>
      <w:r>
        <w:t xml:space="preserve">drug-repurposing candidates for HNSCC by combining quantitative proteomics of paired tumors with</w:t>
      </w:r>
      <w:r>
        <w:t xml:space="preserve"> </w:t>
      </w:r>
      <w:r>
        <w:t xml:space="preserve">pharmacological evidence from several sources and the structure of the protein–protein</w:t>
      </w:r>
      <w:r>
        <w:t xml:space="preserve"> </w:t>
      </w:r>
      <w:r>
        <w:t xml:space="preserve">interaction network. Candidates were ranked not by the size of the protein change alone but by</w:t>
      </w:r>
      <w:r>
        <w:t xml:space="preserve"> </w:t>
      </w:r>
      <w:r>
        <w:t xml:space="preserve">where each target sits in the tumor network and how ready its drug is for clinical use. To check</w:t>
      </w:r>
      <w:r>
        <w:t xml:space="preserve"> </w:t>
      </w:r>
      <w:r>
        <w:t xml:space="preserve">that the approach is trustworthy, we asked whether it recovers the EGFR axis (the main target with</w:t>
      </w:r>
      <w:r>
        <w:t xml:space="preserve"> </w:t>
      </w:r>
      <w:r>
        <w:t xml:space="preserve">approved therapy in HNSCC) as a built-in positive control, and we tested whether the direction of</w:t>
      </w:r>
      <w:r>
        <w:t xml:space="preserve"> </w:t>
      </w:r>
      <w:r>
        <w:t xml:space="preserve">change in the prioritized targets agrees across two independent cohorts (a CPTAC proteome and a</w:t>
      </w:r>
      <w:r>
        <w:t xml:space="preserve"> </w:t>
      </w:r>
      <w:r>
        <w:t xml:space="preserve">TCGA transcriptome). The study was designed both to recover known targets and to bring forward</w:t>
      </w:r>
      <w:r>
        <w:t xml:space="preserve"> </w:t>
      </w:r>
      <w:r>
        <w:t xml:space="preserve">new, biologically interpretable vulnerabilities with translational potential.</w:t>
      </w:r>
    </w:p>
    <w:bookmarkEnd w:id="9"/>
    <w:bookmarkStart w:id="18" w:name="methods"/>
    <w:p>
      <w:pPr>
        <w:pStyle w:val="Heading2"/>
      </w:pPr>
      <w:r>
        <w:t xml:space="preserve">Methods</w:t>
      </w:r>
    </w:p>
    <w:bookmarkStart w:id="10" w:name="X507864d58becb81b3eabdd876d38b9b6f4db955"/>
    <w:p>
      <w:pPr>
        <w:pStyle w:val="Heading3"/>
      </w:pPr>
      <w:r>
        <w:t xml:space="preserve">Proteomic data and differential abundance</w:t>
      </w:r>
    </w:p>
    <w:p>
      <w:pPr>
        <w:pStyle w:val="FirstParagraph"/>
      </w:pPr>
      <w:r>
        <w:t xml:space="preserve">Data-independent acquisition (DIA) proteomics was performed on ten paired tumor and</w:t>
      </w:r>
      <w:r>
        <w:t xml:space="preserve"> </w:t>
      </w:r>
      <w:r>
        <w:t xml:space="preserve">adjacent-normal specimens from patients with head and neck squamous cell carcinoma (HNSCC; n = 20</w:t>
      </w:r>
      <w:r>
        <w:t xml:space="preserve"> </w:t>
      </w:r>
      <w:r>
        <w:t xml:space="preserve">samples; six HPV-positive and four HPV-negative pairs). Spectra were processed with MaxQuant, and</w:t>
      </w:r>
      <w:r>
        <w:t xml:space="preserve"> </w:t>
      </w:r>
      <w:r>
        <w:t xml:space="preserve">differential abundance was assessed with proteoDA</w:t>
      </w:r>
      <w:r>
        <w:t xml:space="preserve"> </w:t>
      </w:r>
      <w:r>
        <w:t xml:space="preserve">(Ritchie et al. 2015)</w:t>
      </w:r>
      <w:r>
        <w:t xml:space="preserve">, a limma wrapper, for the primary tumor-versus-</w:t>
      </w:r>
      <w:r>
        <w:t xml:space="preserve"> </w:t>
      </w:r>
      <w:r>
        <w:t xml:space="preserve">adjacent-normal contrast (averaging over HPV status). Proteins were considered differentially</w:t>
      </w:r>
      <w:r>
        <w:t xml:space="preserve"> </w:t>
      </w:r>
      <w:r>
        <w:t xml:space="preserve">abundant at |log₂FC| &gt; 1 and Benjamini–Hochberg-adjusted p &lt; 0.05. UniProt accessions were mapped</w:t>
      </w:r>
      <w:r>
        <w:t xml:space="preserve"> </w:t>
      </w:r>
      <w:r>
        <w:t xml:space="preserve">to Entrez gene identifiers and HGNC symbols with</w:t>
      </w:r>
      <w:r>
        <w:t xml:space="preserve"> </w:t>
      </w:r>
      <w:r>
        <w:rPr>
          <w:rStyle w:val="VerbatimChar"/>
        </w:rPr>
        <w:t xml:space="preserve">org.Hs.eg.db</w:t>
      </w:r>
      <w:r>
        <w:t xml:space="preserve"> </w:t>
      </w:r>
      <w:r>
        <w:t xml:space="preserve">(clusterProfiler</w:t>
      </w:r>
      <w:r>
        <w:t xml:space="preserve"> </w:t>
      </w:r>
      <w:r>
        <w:t xml:space="preserve">(</w:t>
      </w:r>
      <w:r>
        <w:t xml:space="preserve">Wu et al.</w:t>
      </w:r>
      <w:r>
        <w:t xml:space="preserve"> </w:t>
      </w:r>
      <w:r>
        <w:t xml:space="preserve">2021)</w:t>
      </w:r>
      <w:r>
        <w:t xml:space="preserve"> </w:t>
      </w:r>
      <w:r>
        <w:rPr>
          <w:rStyle w:val="VerbatimChar"/>
        </w:rPr>
        <w:t xml:space="preserve">bitr</w:t>
      </w:r>
      <w:r>
        <w:t xml:space="preserve">). To check</w:t>
      </w:r>
      <w:r>
        <w:t xml:space="preserve"> </w:t>
      </w:r>
      <w:r>
        <w:t xml:space="preserve">that differential abundance was not driven by the muscle- and mucosa-rich composition of the</w:t>
      </w:r>
      <w:r>
        <w:t xml:space="preserve"> </w:t>
      </w:r>
      <w:r>
        <w:t xml:space="preserve">adjacent-normal tongue and larynx specimens, the enrichment and network analyses were repeated</w:t>
      </w:r>
      <w:r>
        <w:t xml:space="preserve"> </w:t>
      </w:r>
      <w:r>
        <w:t xml:space="preserve">after excluding a curated set of tissue-composition markers (skeletal/cardiac muscle and</w:t>
      </w:r>
      <w:r>
        <w:t xml:space="preserve"> </w:t>
      </w:r>
      <w:r>
        <w:t xml:space="preserve">airway/secretory proteins); this left the prioritized targets and the Hallmark</w:t>
      </w:r>
      <w:r>
        <w:t xml:space="preserve"> </w:t>
      </w:r>
      <w:r>
        <w:t xml:space="preserve">(Liberzon et al. 2015)</w:t>
      </w:r>
      <w:r>
        <w:t xml:space="preserve"> </w:t>
      </w:r>
      <w:r>
        <w:t xml:space="preserve">results essentially</w:t>
      </w:r>
      <w:r>
        <w:t xml:space="preserve"> </w:t>
      </w:r>
      <w:r>
        <w:t xml:space="preserve">unchanged (Table S2).</w:t>
      </w:r>
    </w:p>
    <w:bookmarkEnd w:id="10"/>
    <w:bookmarkStart w:id="11" w:name="functional-enrichment"/>
    <w:p>
      <w:pPr>
        <w:pStyle w:val="Heading3"/>
      </w:pPr>
      <w:r>
        <w:t xml:space="preserve">Functional enrichment</w:t>
      </w:r>
    </w:p>
    <w:p>
      <w:pPr>
        <w:pStyle w:val="FirstParagraph"/>
      </w:pPr>
      <w:r>
        <w:t xml:space="preserve">Gene-set enrichment analysis (GSEA)</w:t>
      </w:r>
      <w:r>
        <w:t xml:space="preserve"> </w:t>
      </w:r>
      <w:r>
        <w:t xml:space="preserve">(</w:t>
      </w:r>
      <w:r>
        <w:t xml:space="preserve">Subramanian et al.</w:t>
      </w:r>
      <w:r>
        <w:t xml:space="preserve"> </w:t>
      </w:r>
      <w:r>
        <w:t xml:space="preserve">2005)</w:t>
      </w:r>
      <w:r>
        <w:t xml:space="preserve"> </w:t>
      </w:r>
      <w:r>
        <w:t xml:space="preserve">was performed with clusterProfiler (v4.14.6), ranking proteins</w:t>
      </w:r>
      <w:r>
        <w:t xml:space="preserve"> </w:t>
      </w:r>
      <w:r>
        <w:t xml:space="preserve">by a π-statistic [sign(log₂FC) × |log₂FC| × −log₁₀(adjusted p)] against the MSigDB Hallmark, Gene</w:t>
      </w:r>
      <w:r>
        <w:t xml:space="preserve"> </w:t>
      </w:r>
      <w:r>
        <w:t xml:space="preserve">Ontology Biological Process, KEGG, and Reactome collections (minGSSize = 10, maxGSSize = 500,</w:t>
      </w:r>
      <w:r>
        <w:t xml:space="preserve"> </w:t>
      </w:r>
      <w:r>
        <w:t xml:space="preserve">adjusted p &lt; 0.05; fixed seed for reproducible permutations).</w:t>
      </w:r>
    </w:p>
    <w:bookmarkEnd w:id="11"/>
    <w:bookmarkStart w:id="12" w:name="drugtarget-mapping-and-integration"/>
    <w:p>
      <w:pPr>
        <w:pStyle w:val="Heading3"/>
      </w:pPr>
      <w:r>
        <w:t xml:space="preserve">Drug–target mapping and integration</w:t>
      </w:r>
    </w:p>
    <w:p>
      <w:pPr>
        <w:pStyle w:val="FirstParagraph"/>
      </w:pPr>
      <w:r>
        <w:t xml:space="preserve">Differentially abundant genes were queried against four pharmacological resources: DGIdb</w:t>
      </w:r>
      <w:r>
        <w:t xml:space="preserve"> </w:t>
      </w:r>
      <w:r>
        <w:t xml:space="preserve">(Cannon et al. 2024)</w:t>
      </w:r>
      <w:r>
        <w:t xml:space="preserve"> </w:t>
      </w:r>
      <w:r>
        <w:t xml:space="preserve">(GraphQL</w:t>
      </w:r>
      <w:r>
        <w:t xml:space="preserve"> </w:t>
      </w:r>
      <w:r>
        <w:t xml:space="preserve">API v5), ChEMBL</w:t>
      </w:r>
      <w:r>
        <w:t xml:space="preserve"> </w:t>
      </w:r>
      <w:r>
        <w:t xml:space="preserve">(</w:t>
      </w:r>
      <w:r>
        <w:t xml:space="preserve">Mendez et al.</w:t>
      </w:r>
      <w:r>
        <w:t xml:space="preserve"> </w:t>
      </w:r>
      <w:r>
        <w:t xml:space="preserve">2019)</w:t>
      </w:r>
      <w:r>
        <w:t xml:space="preserve"> </w:t>
      </w:r>
      <w:r>
        <w:t xml:space="preserve">(REST API v33, clinical phase ≥ 3), Open Targets</w:t>
      </w:r>
      <w:r>
        <w:t xml:space="preserve"> </w:t>
      </w:r>
      <w:r>
        <w:t xml:space="preserve">(</w:t>
      </w:r>
      <w:r>
        <w:t xml:space="preserve">Ochoa et al.</w:t>
      </w:r>
      <w:r>
        <w:t xml:space="preserve"> </w:t>
      </w:r>
      <w:r>
        <w:t xml:space="preserve">2021)</w:t>
      </w:r>
      <w:r>
        <w:t xml:space="preserve"> </w:t>
      </w:r>
      <w:r>
        <w:t xml:space="preserve">(GraphQL API; HNSCC association</w:t>
      </w:r>
      <w:r>
        <w:t xml:space="preserve"> </w:t>
      </w:r>
      <w:r>
        <w:t xml:space="preserve">EFO_0000181 and known drugs), and L2S2</w:t>
      </w:r>
      <w:r>
        <w:t xml:space="preserve"> </w:t>
      </w:r>
      <w:r>
        <w:t xml:space="preserve">(Marino et al. 2025)</w:t>
      </w:r>
      <w:r>
        <w:t xml:space="preserve"> </w:t>
      </w:r>
      <w:r>
        <w:t xml:space="preserve">(LINCS L1000 Signature Search; bidirectional enrichment of</w:t>
      </w:r>
      <w:r>
        <w:t xml:space="preserve"> </w:t>
      </w:r>
      <w:r>
        <w:t xml:space="preserve">the top-150 up-regulated proteins against drug down-signatures and vice versa, FDA-approved filter,</w:t>
      </w:r>
      <w:r>
        <w:t xml:space="preserve"> </w:t>
      </w:r>
      <w:r>
        <w:t xml:space="preserve">p &lt; 0.001; reversal score normalized to [−1, 0]). Sources were unified and each drug assigned an</w:t>
      </w:r>
      <w:r>
        <w:t xml:space="preserve"> </w:t>
      </w:r>
      <w:r>
        <w:t xml:space="preserve">ordinal regulatory class encoding regulatory maturity (not pharmacological equivalence): A =</w:t>
      </w:r>
      <w:r>
        <w:t xml:space="preserve"> </w:t>
      </w:r>
      <w:r>
        <w:t xml:space="preserve">approved with HNSCC evidence, B = approved in another cancer, C = approved</w:t>
      </w:r>
      <w:r>
        <w:t xml:space="preserve"> </w:t>
      </w:r>
      <w:r>
        <w:t xml:space="preserve">non-oncological, D = experimental (ordinal scores 1.00/0.75/0.50/0.25). Automated indication</w:t>
      </w:r>
      <w:r>
        <w:t xml:space="preserve"> </w:t>
      </w:r>
      <w:r>
        <w:t xml:space="preserve">matching was manually corrected for seven known mismatches (for example, cetuximab, pembrolizumab</w:t>
      </w:r>
      <w:r>
        <w:t xml:space="preserve"> </w:t>
      </w:r>
      <w:r>
        <w:t xml:space="preserve">and nivolumab were reassigned to class A as agents approved in HNSCC but missed by EFO matching);</w:t>
      </w:r>
      <w:r>
        <w:t xml:space="preserve"> </w:t>
      </w:r>
      <w:r>
        <w:t xml:space="preserve">the complete list of overrides is given in Table S6. Drugs entering prioritization were those</w:t>
      </w:r>
      <w:r>
        <w:t xml:space="preserve"> </w:t>
      </w:r>
      <w:r>
        <w:t xml:space="preserve">supported by ≥ 2 databases or already approved (class A/B retained even if single-source), after</w:t>
      </w:r>
      <w:r>
        <w:t xml:space="preserve"> </w:t>
      </w:r>
      <w:r>
        <w:t xml:space="preserve">removal of a curated exclusion list.</w:t>
      </w:r>
    </w:p>
    <w:bookmarkEnd w:id="12"/>
    <w:bookmarkStart w:id="13" w:name="proteinprotein-interaction-network"/>
    <w:p>
      <w:pPr>
        <w:pStyle w:val="Heading3"/>
      </w:pPr>
      <w:r>
        <w:t xml:space="preserve">Protein–protein interaction network</w:t>
      </w:r>
    </w:p>
    <w:p>
      <w:pPr>
        <w:pStyle w:val="FirstParagraph"/>
      </w:pPr>
      <w:r>
        <w:t xml:space="preserve">A high-confidence interaction network was built from the differentially abundant proteins using</w:t>
      </w:r>
      <w:r>
        <w:t xml:space="preserve"> </w:t>
      </w:r>
      <w:r>
        <w:t xml:space="preserve">STRING</w:t>
      </w:r>
      <w:r>
        <w:t xml:space="preserve"> </w:t>
      </w:r>
      <w:r>
        <w:t xml:space="preserve">(</w:t>
      </w:r>
      <w:r>
        <w:t xml:space="preserve">Szklarczyk et al.</w:t>
      </w:r>
      <w:r>
        <w:t xml:space="preserve"> </w:t>
      </w:r>
      <w:r>
        <w:t xml:space="preserve">2023)</w:t>
      </w:r>
      <w:r>
        <w:t xml:space="preserve"> </w:t>
      </w:r>
      <w:r>
        <w:t xml:space="preserve">v12 (combined score ≥ 700). The largest connected component of the network was characterized</w:t>
      </w:r>
      <w:r>
        <w:t xml:space="preserve"> </w:t>
      </w:r>
      <w:r>
        <w:t xml:space="preserve">by degree, betweenness, and eigenvector centrality (igraph v2.2.2); hubs were defined as the top</w:t>
      </w:r>
      <w:r>
        <w:t xml:space="preserve"> </w:t>
      </w:r>
      <w:r>
        <w:t xml:space="preserve">decile by degree. Louvain community detection partitioned this component into modules, each named</w:t>
      </w:r>
      <w:r>
        <w:t xml:space="preserve"> </w:t>
      </w:r>
      <w:r>
        <w:t xml:space="preserve">by its top-enriched GO Biological Process term. Druggable hubs were the hubs intersecting the drug-target set. Each module</w:t>
      </w:r>
      <w:r>
        <w:t xml:space="preserve"> </w:t>
      </w:r>
      <w:r>
        <w:t xml:space="preserve">was assigned a data-driven drugability tier (containing an approved-drug target; containing</w:t>
      </w:r>
      <w:r>
        <w:t xml:space="preserve"> </w:t>
      </w:r>
      <w:r>
        <w:t xml:space="preserve">druggable hubs only; or below threshold).</w:t>
      </w:r>
    </w:p>
    <w:bookmarkEnd w:id="13"/>
    <w:bookmarkStart w:id="14" w:name="X7ce957a7690d2b853bda9e15015edb572eafc2c"/>
    <w:p>
      <w:pPr>
        <w:pStyle w:val="Heading3"/>
      </w:pPr>
      <w:r>
        <w:t xml:space="preserve">Network-anchored two-factor prioritization</w:t>
      </w:r>
    </w:p>
    <w:p>
      <w:pPr>
        <w:pStyle w:val="FirstParagraph"/>
      </w:pPr>
      <w:r>
        <w:t xml:space="preserve">Each candidate was scored with a composite that anchors prioritization in network structure</w:t>
      </w:r>
      <w:r>
        <w:t xml:space="preserve"> </w:t>
      </w:r>
      <w:r>
        <w:t xml:space="preserve">(network → module → druggable hub → drug):</w:t>
      </w:r>
    </w:p>
    <w:p>
      <w:pPr>
        <w:pStyle w:val="BodyText"/>
      </w:pPr>
      <w:r>
        <w:rPr>
          <w:rStyle w:val="VerbatimChar"/>
        </w:rPr>
        <w:t xml:space="preserve">composite = 0.60 · TargetPriority + 0.40 · DrugViability</w:t>
      </w:r>
    </w:p>
    <w:p>
      <w:pPr>
        <w:pStyle w:val="BodyText"/>
      </w:pPr>
      <w:r>
        <w:t xml:space="preserve">TargetPriority (target-level) = 0.55 · network centrality (mean of min–max-normalized degree,</w:t>
      </w:r>
      <w:r>
        <w:t xml:space="preserve"> </w:t>
      </w:r>
      <w:r>
        <w:t xml:space="preserve">betweenness, eigenvector) + 0.45 · directional differential abundance (π = sign(log₂FC)·|log₂FC|·</w:t>
      </w:r>
      <w:r>
        <w:t xml:space="preserve"> </w:t>
      </w:r>
      <w:r>
        <w:t xml:space="preserve">−log₁₀FDR, direction-aware min–max). This π term is signed and rewards inhibition of over-abundant</w:t>
      </w:r>
      <w:r>
        <w:t xml:space="preserve"> </w:t>
      </w:r>
      <w:r>
        <w:t xml:space="preserve">targets; as a result, under-abundant targets (including potential loss-of-function/tumor-</w:t>
      </w:r>
      <w:r>
        <w:t xml:space="preserve"> </w:t>
      </w:r>
      <w:r>
        <w:t xml:space="preserve">suppressor nodes) are down-weighted by this term. DrugViability (drug-level; breaks ties among drugs sharing a target) =</w:t>
      </w:r>
      <w:r>
        <w:t xml:space="preserve"> </w:t>
      </w:r>
      <w:r>
        <w:t xml:space="preserve">0.40 · L2S2 transcriptomic reversal + 0.40 · regulatory class + 0.20 · evidence breadth (databases</w:t>
      </w:r>
      <w:r>
        <w:t xml:space="preserve"> </w:t>
      </w:r>
      <w:r>
        <w:t xml:space="preserve">/ 4). Each drug was assigned to its most central credible target, where a drug→target edge is</w:t>
      </w:r>
      <w:r>
        <w:t xml:space="preserve"> </w:t>
      </w:r>
      <w:r>
        <w:t xml:space="preserve">credible only if curated by ChEMBL or Open Targets (DGIdb-only edges were excluded as attribution</w:t>
      </w:r>
      <w:r>
        <w:t xml:space="preserve"> </w:t>
      </w:r>
      <w:r>
        <w:t xml:space="preserve">anchors because DGIdb interaction scores are promiscuous and do not reliably reflect mechanism of</w:t>
      </w:r>
      <w:r>
        <w:t xml:space="preserve"> </w:t>
      </w:r>
      <w:r>
        <w:t xml:space="preserve">action). A target that is a network hub defines the hub-central tier; a credible non-hub target the</w:t>
      </w:r>
      <w:r>
        <w:t xml:space="preserve"> </w:t>
      </w:r>
      <w:r>
        <w:t xml:space="preserve">peripheral-differential tier. Anchor genes lacking antitumoral plausibility or reflecting sample</w:t>
      </w:r>
      <w:r>
        <w:t xml:space="preserve"> </w:t>
      </w:r>
      <w:r>
        <w:t xml:space="preserve">contamination were excluded via a curated configuration list. By design, network topology is the</w:t>
      </w:r>
      <w:r>
        <w:t xml:space="preserve"> </w:t>
      </w:r>
      <w:r>
        <w:t xml:space="preserve">dominant driver of the composite, with DrugViability acting primarily as a clinical/pharmacological</w:t>
      </w:r>
      <w:r>
        <w:t xml:space="preserve"> </w:t>
      </w:r>
      <w:r>
        <w:t xml:space="preserve">tie-breaker among agents sharing a target.</w:t>
      </w:r>
    </w:p>
    <w:bookmarkEnd w:id="14"/>
    <w:bookmarkStart w:id="15" w:name="robustness"/>
    <w:p>
      <w:pPr>
        <w:pStyle w:val="Heading3"/>
      </w:pPr>
      <w:r>
        <w:t xml:space="preserve">Robustness</w:t>
      </w:r>
    </w:p>
    <w:p>
      <w:pPr>
        <w:pStyle w:val="FirstParagraph"/>
      </w:pPr>
      <w:r>
        <w:t xml:space="preserve">Ranking stability was assessed by weight-perturbation sensitivity (six configurations varying the</w:t>
      </w:r>
      <w:r>
        <w:t xml:space="preserve"> </w:t>
      </w:r>
      <w:r>
        <w:t xml:space="preserve">target/drug balance and the sub-weights) and by leave-one-database (LOD) stability. No permutation</w:t>
      </w:r>
      <w:r>
        <w:t xml:space="preserve"> </w:t>
      </w:r>
      <w:r>
        <w:t xml:space="preserve">null was used: for an evidence-aggregation prioritization score (rather than a de novo discovery</w:t>
      </w:r>
      <w:r>
        <w:t xml:space="preserve"> </w:t>
      </w:r>
      <w:r>
        <w:t xml:space="preserve">statistic), its validity comes from recovering positive controls (approved EGFR-axis agents), from</w:t>
      </w:r>
      <w:r>
        <w:t xml:space="preserve"> </w:t>
      </w:r>
      <w:r>
        <w:t xml:space="preserve">robustness to the weighting and database choices, and from external corroboration, not from a</w:t>
      </w:r>
      <w:r>
        <w:t xml:space="preserve"> </w:t>
      </w:r>
      <w:r>
        <w:t xml:space="preserve">permutation p-value.</w:t>
      </w:r>
    </w:p>
    <w:bookmarkEnd w:id="15"/>
    <w:bookmarkStart w:id="16" w:name="X64b44461957c12521484b842e13a272e3266eb7"/>
    <w:p>
      <w:pPr>
        <w:pStyle w:val="Heading3"/>
      </w:pPr>
      <w:r>
        <w:t xml:space="preserve">External corroboration in two independent cohorts</w:t>
      </w:r>
    </w:p>
    <w:p>
      <w:pPr>
        <w:pStyle w:val="FirstParagraph"/>
      </w:pPr>
      <w:r>
        <w:t xml:space="preserve">Target directionality was corroborated, not tested for efficacy or rank order, in two independent</w:t>
      </w:r>
      <w:r>
        <w:t xml:space="preserve"> </w:t>
      </w:r>
      <w:r>
        <w:t xml:space="preserve">cohorts. The CPTAC-HNSCC TMT proteome (Huang et al., 2021</w:t>
      </w:r>
      <w:r>
        <w:t xml:space="preserve"> </w:t>
      </w:r>
      <w:r>
        <w:t xml:space="preserve">(</w:t>
      </w:r>
      <w:r>
        <w:t xml:space="preserve">Huang et al.</w:t>
      </w:r>
      <w:r>
        <w:t xml:space="preserve"> </w:t>
      </w:r>
      <w:r>
        <w:t xml:space="preserve">2021)</w:t>
      </w:r>
      <w:r>
        <w:t xml:space="preserve">) was retrieved with the</w:t>
      </w:r>
      <w:r>
        <w:t xml:space="preserve"> </w:t>
      </w:r>
      <w:r>
        <w:rPr>
          <w:rStyle w:val="VerbatimChar"/>
        </w:rPr>
        <w:t xml:space="preserve">cptac</w:t>
      </w:r>
      <w:r>
        <w:t xml:space="preserve"> </w:t>
      </w:r>
      <w:r>
        <w:t xml:space="preserve">Python</w:t>
      </w:r>
      <w:r>
        <w:t xml:space="preserve"> </w:t>
      </w:r>
      <w:r>
        <w:t xml:space="preserve">package and analyzed by the same method as discovery (paired limma with duplicateCorrelation</w:t>
      </w:r>
      <w:r>
        <w:t xml:space="preserve"> </w:t>
      </w:r>
      <w:r>
        <w:t xml:space="preserve">blocking on patient; 116 tumor / 66 normal, 66 pairs). The TCGA-HNSC transcriptome (STAR-Counts</w:t>
      </w:r>
      <w:r>
        <w:t xml:space="preserve"> </w:t>
      </w:r>
      <w:r>
        <w:t xml:space="preserve">via TCGAbiolinks; 520 tumor / 44 normal) was analyzed with DESeq2 (v1.44). For each cohort, the</w:t>
      </w:r>
      <w:r>
        <w:t xml:space="preserve"> </w:t>
      </w:r>
      <w:r>
        <w:t xml:space="preserve">per-gene log₂FC was correlated with the DIA log₂FC over the set of shared genes (Pearson</w:t>
      </w:r>
      <w:r>
        <w:t xml:space="preserve"> </w:t>
      </w:r>
      <w:r>
        <w:t xml:space="preserve">correlation and directional-concordance fraction), and, for the shortlist anchor targets, per-gene</w:t>
      </w:r>
      <w:r>
        <w:t xml:space="preserve"> </w:t>
      </w:r>
      <w:r>
        <w:t xml:space="preserve">log₂FC and adjusted p were compared against the DIA proteome (directional concordance and FDR &lt; 0.05</w:t>
      </w:r>
      <w:r>
        <w:t xml:space="preserve"> </w:t>
      </w:r>
      <w:r>
        <w:t xml:space="preserve">annotated per target).</w:t>
      </w:r>
    </w:p>
    <w:bookmarkEnd w:id="16"/>
    <w:bookmarkStart w:id="17" w:name="software-and-reproducibility"/>
    <w:p>
      <w:pPr>
        <w:pStyle w:val="Heading3"/>
      </w:pPr>
      <w:r>
        <w:t xml:space="preserve">Software and reproducibility</w:t>
      </w:r>
    </w:p>
    <w:p>
      <w:pPr>
        <w:pStyle w:val="FirstParagraph"/>
      </w:pPr>
      <w:r>
        <w:t xml:space="preserve">Analyses used R 4.4.3 (limma v3.62.2, clusterProfiler v4.14.6, ReactomePA v1.50.0, igraph v2.2.2,</w:t>
      </w:r>
      <w:r>
        <w:t xml:space="preserve"> </w:t>
      </w:r>
      <w:r>
        <w:t xml:space="preserve">ggraph v2.2.2, ComplexHeatmap v2.22.0, DESeq2 v1.44) and Python 3 (requests, pandas, numpy,</w:t>
      </w:r>
      <w:r>
        <w:t xml:space="preserve"> </w:t>
      </w:r>
      <w:r>
        <w:t xml:space="preserve">matplotlib;</w:t>
      </w:r>
      <w:r>
        <w:t xml:space="preserve"> </w:t>
      </w:r>
      <w:r>
        <w:rPr>
          <w:rStyle w:val="VerbatimChar"/>
        </w:rPr>
        <w:t xml:space="preserve">cptac</w:t>
      </w:r>
      <w:r>
        <w:t xml:space="preserve">). External resources: DGIdb v5, ChEMBL v33, Open Targets, L2S2 LINCS L1000</w:t>
      </w:r>
      <w:r>
        <w:t xml:space="preserve"> </w:t>
      </w:r>
      <w:r>
        <w:t xml:space="preserve">(Evangelista et al., 2025), STRING v12, and MSigDB Hallmark. A Data and Code Availability</w:t>
      </w:r>
      <w:r>
        <w:t xml:space="preserve"> </w:t>
      </w:r>
      <w:r>
        <w:t xml:space="preserve">statement will be provided at submission.</w:t>
      </w:r>
    </w:p>
    <w:bookmarkEnd w:id="17"/>
    <w:bookmarkEnd w:id="18"/>
    <w:bookmarkStart w:id="25" w:name="results"/>
    <w:p>
      <w:pPr>
        <w:pStyle w:val="Heading2"/>
      </w:pPr>
      <w:r>
        <w:t xml:space="preserve">Results</w:t>
      </w:r>
    </w:p>
    <w:bookmarkStart w:id="19" w:name="Xa5daa2bb187e1e8dfecc2ef96fa7f2aebb26deb"/>
    <w:p>
      <w:pPr>
        <w:pStyle w:val="Heading3"/>
      </w:pPr>
      <w:r>
        <w:t xml:space="preserve">Differential protein abundance in the HNSCC proteome</w:t>
      </w:r>
    </w:p>
    <w:p>
      <w:pPr>
        <w:pStyle w:val="FirstParagraph"/>
      </w:pPr>
      <w:r>
        <w:t xml:space="preserve">Data-independent acquisition proteomics of ten paired tumor and adjacent-normal specimens</w:t>
      </w:r>
      <w:r>
        <w:t xml:space="preserve"> </w:t>
      </w:r>
      <w:r>
        <w:t xml:space="preserve">quantified 3,352 proteins, all mapped to Entrez gene identifiers. A paired differential-abundance</w:t>
      </w:r>
      <w:r>
        <w:t xml:space="preserve"> </w:t>
      </w:r>
      <w:r>
        <w:t xml:space="preserve">analysis (limma; |log₂FC| &gt; 1, FDR &lt; 0.05) identified 666 differentially abundant proteins (19.9%</w:t>
      </w:r>
      <w:r>
        <w:t xml:space="preserve"> </w:t>
      </w:r>
      <w:r>
        <w:t xml:space="preserve">of the quantified proteome), comprising 329 over-abundant and 337 under-abundant proteins in</w:t>
      </w:r>
      <w:r>
        <w:t xml:space="preserve"> </w:t>
      </w:r>
      <w:r>
        <w:t xml:space="preserve">tumor relative to adjacent-normal tissue (Fig 2A; Table S1). Gene-set enrichment analysis against</w:t>
      </w:r>
      <w:r>
        <w:t xml:space="preserve"> </w:t>
      </w:r>
      <w:r>
        <w:t xml:space="preserve">the 50 MSigDB Hallmark gene sets returned 11 significantly enriched programs (FDR &lt; 0.05; Fig 2C).</w:t>
      </w:r>
      <w:r>
        <w:t xml:space="preserve"> </w:t>
      </w:r>
      <w:r>
        <w:t xml:space="preserve">The most strongly down-regulated signature was oxidative phosphorylation (NES = −2.21), followed by</w:t>
      </w:r>
      <w:r>
        <w:t xml:space="preserve"> </w:t>
      </w:r>
      <w:r>
        <w:t xml:space="preserve">myogenesis (NES = −1.99) and adipogenesis (NES = −1.83).</w:t>
      </w:r>
    </w:p>
    <w:p>
      <w:pPr>
        <w:pStyle w:val="BodyText"/>
      </w:pPr>
      <w:r>
        <w:t xml:space="preserve">The most extreme under-abundant proteins were dominated by skeletal/cardiac muscle (e.g., MYH2,</w:t>
      </w:r>
      <w:r>
        <w:t xml:space="preserve"> </w:t>
      </w:r>
      <w:r>
        <w:t xml:space="preserve">MYL1/2/3, CASQ1, TCAP, ATP2A1) and airway/secretory markers (BPIFA1, BPIFB1). These</w:t>
      </w:r>
      <w:r>
        <w:t xml:space="preserve"> </w:t>
      </w:r>
      <w:r>
        <w:t xml:space="preserve">tissue-composition markers accounted for 12.8% of down-regulated proteins overall but 80% of the</w:t>
      </w:r>
      <w:r>
        <w:t xml:space="preserve"> </w:t>
      </w:r>
      <w:r>
        <w:t xml:space="preserve">20 most extreme. In a sensitivity analysis excluding these markers (Table S2), the hub</w:t>
      </w:r>
      <w:r>
        <w:t xml:space="preserve"> </w:t>
      </w:r>
      <w:r>
        <w:t xml:space="preserve">status of all prioritized targets was unchanged (e.g., NDUFS2 degree 51→51; EGFR 24→23), the</w:t>
      </w:r>
      <w:r>
        <w:t xml:space="preserve"> </w:t>
      </w:r>
      <w:r>
        <w:t xml:space="preserve">oxidative-phosphorylation signature was retained and even slightly stronger (NES −2.21→−2.32), and</w:t>
      </w:r>
      <w:r>
        <w:t xml:space="preserve"> </w:t>
      </w:r>
      <w:r>
        <w:t xml:space="preserve">only the myogenesis hallmark weakened appreciably (NES −2.00→−1.56), confirming that our</w:t>
      </w:r>
      <w:r>
        <w:t xml:space="preserve"> </w:t>
      </w:r>
      <w:r>
        <w:t xml:space="preserve">conclusions about the prioritized targets and the OXPHOS axis hold up regardless of tissue composition.</w:t>
      </w:r>
    </w:p>
    <w:bookmarkEnd w:id="19"/>
    <w:bookmarkStart w:id="20" w:name="multi-source-druggable-candidate-space"/>
    <w:p>
      <w:pPr>
        <w:pStyle w:val="Heading3"/>
      </w:pPr>
      <w:r>
        <w:t xml:space="preserve">Multi-source druggable candidate space</w:t>
      </w:r>
    </w:p>
    <w:p>
      <w:pPr>
        <w:pStyle w:val="FirstParagraph"/>
      </w:pPr>
      <w:r>
        <w:t xml:space="preserve">Mapping the differentially abundant proteins to four pharmacological resources (DGIdb, ChEMBL,</w:t>
      </w:r>
      <w:r>
        <w:t xml:space="preserve"> </w:t>
      </w:r>
      <w:r>
        <w:t xml:space="preserve">Open Targets, L2S2) yielded 458 multi-source candidate drugs: agents supported by at least two</w:t>
      </w:r>
      <w:r>
        <w:t xml:space="preserve"> </w:t>
      </w:r>
      <w:r>
        <w:t xml:space="preserve">databases, or already approved (regulatory class A/B, retained even with a single source), after</w:t>
      </w:r>
      <w:r>
        <w:t xml:space="preserve"> </w:t>
      </w:r>
      <w:r>
        <w:t xml:space="preserve">a curated exclusion list (Fig 3). The candidate set spanned the full clinical-development</w:t>
      </w:r>
      <w:r>
        <w:t xml:space="preserve"> </w:t>
      </w:r>
      <w:r>
        <w:t xml:space="preserve">spectrum, with a substantial fraction of approved agents (Fig 3A–B), and the cross-source UpSet</w:t>
      </w:r>
      <w:r>
        <w:t xml:space="preserve"> </w:t>
      </w:r>
      <w:r>
        <w:t xml:space="preserve">plot confirmed that the candidates were not an artifact of any single database (Fig 3C).</w:t>
      </w:r>
    </w:p>
    <w:bookmarkEnd w:id="20"/>
    <w:bookmarkStart w:id="21" w:name="X667b2ef2f3d1c648f40f67b8885bf345af9cef5"/>
    <w:p>
      <w:pPr>
        <w:pStyle w:val="Heading3"/>
      </w:pPr>
      <w:r>
        <w:t xml:space="preserve">Protein–protein interaction network and module structure</w:t>
      </w:r>
    </w:p>
    <w:p>
      <w:pPr>
        <w:pStyle w:val="FirstParagraph"/>
      </w:pPr>
      <w:r>
        <w:t xml:space="preserve">To prioritize by biological position rather than fold-change magnitude alone, we placed the</w:t>
      </w:r>
      <w:r>
        <w:t xml:space="preserve"> </w:t>
      </w:r>
      <w:r>
        <w:t xml:space="preserve">candidate targets in a high-confidence tumor protein–protein interaction network (STRING). Of the</w:t>
      </w:r>
      <w:r>
        <w:t xml:space="preserve"> </w:t>
      </w:r>
      <w:r>
        <w:t xml:space="preserve">differentially abundant proteins, 521 formed the network’s largest connected component (2,714</w:t>
      </w:r>
      <w:r>
        <w:t xml:space="preserve"> </w:t>
      </w:r>
      <w:r>
        <w:t xml:space="preserve">interactions), which Louvain community detection partitioned into 13 functional modules (Fig 4A)</w:t>
      </w:r>
      <w:r>
        <w:t xml:space="preserve"> </w:t>
      </w:r>
      <w:r>
        <w:t xml:space="preserve">carrying 99 druggable hubs. Module-level Gene Ontology</w:t>
      </w:r>
      <w:r>
        <w:t xml:space="preserve"> </w:t>
      </w:r>
      <w:r>
        <w:t xml:space="preserve">enrichment assigned a coherent functional identity to each module (Fig 4B), and the per-module</w:t>
      </w:r>
      <w:r>
        <w:t xml:space="preserve"> </w:t>
      </w:r>
      <w:r>
        <w:t xml:space="preserve">hub counts (Fig 4C) defined the candidate anchors carried forward to prioritization. Modules were</w:t>
      </w:r>
      <w:r>
        <w:t xml:space="preserve"> </w:t>
      </w:r>
      <w:r>
        <w:t xml:space="preserve">classified by a data-driven drugability tier (containing an approved-drug target, druggable hubs</w:t>
      </w:r>
      <w:r>
        <w:t xml:space="preserve"> </w:t>
      </w:r>
      <w:r>
        <w:t xml:space="preserve">only, or below threshold). The leading druggable hubs included EGFR, the principal approved HNSCC</w:t>
      </w:r>
      <w:r>
        <w:t xml:space="preserve"> </w:t>
      </w:r>
      <w:r>
        <w:t xml:space="preserve">target, a high-centrality hub in the cell-adhesion/membrane module, together with hubs in the</w:t>
      </w:r>
      <w:r>
        <w:t xml:space="preserve"> </w:t>
      </w:r>
      <w:r>
        <w:t xml:space="preserve">oxidative-phosphorylation (OXPHOS), proteasome, and chromatin-remodeling (epigenetic) modules</w:t>
      </w:r>
      <w:r>
        <w:t xml:space="preserve"> </w:t>
      </w:r>
      <w:r>
        <w:t xml:space="preserve">(Fig 4). For clarity we refer to these four druggable axes as the EGFR, OXPHOS, proteasome, and</w:t>
      </w:r>
      <w:r>
        <w:t xml:space="preserve"> </w:t>
      </w:r>
      <w:r>
        <w:t xml:space="preserve">epigenetic therapeutic pillars throughout. Two pillars are named by their key hub or function</w:t>
      </w:r>
      <w:r>
        <w:t xml:space="preserve"> </w:t>
      </w:r>
      <w:r>
        <w:t xml:space="preserve">rather than by the module’s enrichment label: the EGFR pillar is anchored by the EGFR hub within</w:t>
      </w:r>
      <w:r>
        <w:t xml:space="preserve"> </w:t>
      </w:r>
      <w:r>
        <w:t xml:space="preserve">the cell-adhesion/membrane module, and the epigenetic pillar corresponds to the chromatin-remodeling</w:t>
      </w:r>
      <w:r>
        <w:t xml:space="preserve"> </w:t>
      </w:r>
      <w:r>
        <w:t xml:space="preserve">module; the OXPHOS and proteasome pillars share the names of their modules.</w:t>
      </w:r>
    </w:p>
    <w:bookmarkEnd w:id="21"/>
    <w:bookmarkStart w:id="22" w:name="X70074d69435daa689fddf7b24d5faf48dd08b02"/>
    <w:p>
      <w:pPr>
        <w:pStyle w:val="Heading3"/>
      </w:pPr>
      <w:r>
        <w:t xml:space="preserve">Network-anchored two-factor prioritization</w:t>
      </w:r>
    </w:p>
    <w:p>
      <w:pPr>
        <w:pStyle w:val="FirstParagraph"/>
      </w:pPr>
      <w:r>
        <w:t xml:space="preserve">Each candidate was scored by a composite that combines how important its target is biologically</w:t>
      </w:r>
      <w:r>
        <w:t xml:space="preserve"> </w:t>
      </w:r>
      <w:r>
        <w:t xml:space="preserve">with how ready the drug is for clinical use (</w:t>
      </w:r>
      <w:r>
        <w:rPr>
          <w:rStyle w:val="VerbatimChar"/>
        </w:rPr>
        <w:t xml:space="preserve">composite = 0.60·TargetPriority + 0.40·DrugViability</w:t>
      </w:r>
      <w:r>
        <w:t xml:space="preserve">),</w:t>
      </w:r>
      <w:r>
        <w:t xml:space="preserve"> </w:t>
      </w:r>
      <w:r>
        <w:t xml:space="preserve">with every drug anchored to its most credible central target through a curated ChEMBL/Open Targets</w:t>
      </w:r>
      <w:r>
        <w:t xml:space="preserve"> </w:t>
      </w:r>
      <w:r>
        <w:t xml:space="preserve">edge (Fig 5; Table 1). TargetPriority combines network centrality with directional differential</w:t>
      </w:r>
      <w:r>
        <w:t xml:space="preserve"> </w:t>
      </w:r>
      <w:r>
        <w:t xml:space="preserve">abundance, and DrugViability combines transcriptomic reversal (L2S2), regulatory class, and how</w:t>
      </w:r>
      <w:r>
        <w:t xml:space="preserve"> </w:t>
      </w:r>
      <w:r>
        <w:t xml:space="preserve">many sources support the drug.</w:t>
      </w:r>
    </w:p>
    <w:p>
      <w:pPr>
        <w:pStyle w:val="BodyText"/>
      </w:pPr>
      <w:r>
        <w:t xml:space="preserve">Without any disease-specific tuning, the prioritization elevated EGFR and its approved directed</w:t>
      </w:r>
      <w:r>
        <w:t xml:space="preserve"> </w:t>
      </w:r>
      <w:r>
        <w:t xml:space="preserve">agents to the top of the ranking: cetuximab ranked first (composite 0.73), accompanied by</w:t>
      </w:r>
      <w:r>
        <w:t xml:space="preserve"> </w:t>
      </w:r>
      <w:r>
        <w:t xml:space="preserve">nimotuzumab, panitumumab, gefitinib, and afatinib (Table 1, EGFR control block). Recovering these clinically validated EGFR-directed agents without supervision served as</w:t>
      </w:r>
      <w:r>
        <w:t xml:space="preserve"> </w:t>
      </w:r>
      <w:r>
        <w:t xml:space="preserve">an internal positive control for the method.</w:t>
      </w:r>
    </w:p>
    <w:p>
      <w:pPr>
        <w:pStyle w:val="BodyText"/>
      </w:pPr>
      <w:r>
        <w:t xml:space="preserve">Beyond this control, the shortlist split into two interpretable tiers (Table 1; Fig 5A). The</w:t>
      </w:r>
      <w:r>
        <w:t xml:space="preserve"> </w:t>
      </w:r>
      <w:r>
        <w:t xml:space="preserve">hub-central tier contained candidates whose anchor is a network hub: metformin, anchored to the</w:t>
      </w:r>
      <w:r>
        <w:t xml:space="preserve"> </w:t>
      </w:r>
      <w:r>
        <w:t xml:space="preserve">Complex I subunit NDUFS2 within the oxidative-phosphorylation module (composite 0.591), and</w:t>
      </w:r>
      <w:r>
        <w:t xml:space="preserve"> </w:t>
      </w:r>
      <w:r>
        <w:t xml:space="preserve">proteasome-directed agents anchored to PSMA2/PSMB3. Notably, Complex I subunits were strongly</w:t>
      </w:r>
      <w:r>
        <w:t xml:space="preserve"> </w:t>
      </w:r>
      <w:r>
        <w:t xml:space="preserve">under-abundant in tumor (NDUFS2 log₂FC = −3.05); metformin rose to the top through the high</w:t>
      </w:r>
      <w:r>
        <w:t xml:space="preserve"> </w:t>
      </w:r>
      <w:r>
        <w:t xml:space="preserve">network centrality of its anchor, independent of fold-change direction, and we present it as a</w:t>
      </w:r>
      <w:r>
        <w:t xml:space="preserve"> </w:t>
      </w:r>
      <w:r>
        <w:t xml:space="preserve">metabolic-vulnerability and combination-therapy candidate rather than as inhibition of an</w:t>
      </w:r>
      <w:r>
        <w:t xml:space="preserve"> </w:t>
      </w:r>
      <w:r>
        <w:t xml:space="preserve">over-expressed target. The peripheral-differential tier held targets that are</w:t>
      </w:r>
      <w:r>
        <w:t xml:space="preserve"> </w:t>
      </w:r>
      <w:r>
        <w:t xml:space="preserve">differentially abundant but not network hubs, including the epigenetic regulators DNMT1</w:t>
      </w:r>
      <w:r>
        <w:t xml:space="preserve"> </w:t>
      </w:r>
      <w:r>
        <w:t xml:space="preserve">(decitabine/azacitidine) and MAOA (tranylcypromine) and the antimetabolite target IMPDH2</w:t>
      </w:r>
      <w:r>
        <w:t xml:space="preserve"> </w:t>
      </w:r>
      <w:r>
        <w:t xml:space="preserve">(thioguanine), alongside classical repurposing agents. The extended candidate list across all</w:t>
      </w:r>
      <w:r>
        <w:t xml:space="preserve"> </w:t>
      </w:r>
      <w:r>
        <w:t xml:space="preserve">modules is provided in Table S5, and candidate provenance in Table S3.</w:t>
      </w:r>
    </w:p>
    <w:bookmarkEnd w:id="22"/>
    <w:bookmarkStart w:id="23" w:name="X284fdd6315c372fde6cdcbc15acfe1a88046859"/>
    <w:p>
      <w:pPr>
        <w:pStyle w:val="Heading3"/>
      </w:pPr>
      <w:r>
        <w:t xml:space="preserve">External corroboration in two independent cohorts</w:t>
      </w:r>
    </w:p>
    <w:p>
      <w:pPr>
        <w:pStyle w:val="FirstParagraph"/>
      </w:pPr>
      <w:r>
        <w:t xml:space="preserve">To see whether the findings generalize, we asked whether the direction of change in the</w:t>
      </w:r>
      <w:r>
        <w:t xml:space="preserve"> </w:t>
      </w:r>
      <w:r>
        <w:t xml:space="preserve">prioritized targets reproduced in independent data (Fig 6). At the global level, the DIA proteome correlated with the</w:t>
      </w:r>
      <w:r>
        <w:t xml:space="preserve"> </w:t>
      </w:r>
      <w:r>
        <w:t xml:space="preserve">CPTAC-HNSCC TMT proteome (Pearson r = 0.789 over 636 shared genes; 86.3% directional concordance;</w:t>
      </w:r>
      <w:r>
        <w:t xml:space="preserve"> </w:t>
      </w:r>
      <w:r>
        <w:t xml:space="preserve">Fig 6A) and with the TCGA-HNSC transcriptome (r = 0.601 over 663 shared genes; 76.2% concordance;</w:t>
      </w:r>
      <w:r>
        <w:t xml:space="preserve"> </w:t>
      </w:r>
      <w:r>
        <w:t xml:space="preserve">Fig 6B). For the 14 shortlist anchor targets specifically (Fig 6C; Table S4), directional</w:t>
      </w:r>
      <w:r>
        <w:t xml:space="preserve"> </w:t>
      </w:r>
      <w:r>
        <w:t xml:space="preserve">concordance was observed for 11 of 12 anchors with CPTAC data and 11 of 14 with TCGA, with 10/12</w:t>
      </w:r>
      <w:r>
        <w:t xml:space="preserve"> </w:t>
      </w:r>
      <w:r>
        <w:t xml:space="preserve">and 12/14 reaching FDR &lt; 0.05, respectively. Concordance was strong for the principal candidates</w:t>
      </w:r>
      <w:r>
        <w:t xml:space="preserve"> </w:t>
      </w:r>
      <w:r>
        <w:t xml:space="preserve">(EGFR, NDUFS2, DNMT1, PSMA2, ALDH5A1, MAOA, MMP8, IMPDH2, ALDH2) and weaker or discordant for four</w:t>
      </w:r>
      <w:r>
        <w:t xml:space="preserve"> </w:t>
      </w:r>
      <w:r>
        <w:t xml:space="preserve">anchors (PDE6D, CA2, CDA, RPS11), which we treat as lower-confidence nominations. These cohorts</w:t>
      </w:r>
      <w:r>
        <w:t xml:space="preserve"> </w:t>
      </w:r>
      <w:r>
        <w:t xml:space="preserve">corroborate the direction of change in the prioritized targets; they are not a test of drug</w:t>
      </w:r>
      <w:r>
        <w:t xml:space="preserve"> </w:t>
      </w:r>
      <w:r>
        <w:t xml:space="preserve">efficacy or of the candidate rank order.</w:t>
      </w:r>
    </w:p>
    <w:bookmarkEnd w:id="23"/>
    <w:bookmarkStart w:id="24" w:name="robustness-of-the-ranking"/>
    <w:p>
      <w:pPr>
        <w:pStyle w:val="Heading3"/>
      </w:pPr>
      <w:r>
        <w:t xml:space="preserve">Robustness of the ranking</w:t>
      </w:r>
    </w:p>
    <w:p>
      <w:pPr>
        <w:pStyle w:val="FirstParagraph"/>
      </w:pPr>
      <w:r>
        <w:t xml:space="preserve">Finally, the candidate ranking was stable across six independent weight configurations and a</w:t>
      </w:r>
      <w:r>
        <w:t xml:space="preserve"> </w:t>
      </w:r>
      <w:r>
        <w:t xml:space="preserve">limit-of-detection filter (Fig S1). Consistent with the network-anchored design, the composite</w:t>
      </w:r>
      <w:r>
        <w:t xml:space="preserve"> </w:t>
      </w:r>
      <w:r>
        <w:t xml:space="preserve">ranking was strongly correlated with target network centrality alone (Spearman ρ = 0.78),</w:t>
      </w:r>
      <w:r>
        <w:t xml:space="preserve"> </w:t>
      </w:r>
      <w:r>
        <w:t xml:space="preserve">confirming that network topology, rather than the drug-level tie-breakers, was the dominant driver</w:t>
      </w:r>
      <w:r>
        <w:t xml:space="preserve"> </w:t>
      </w:r>
      <w:r>
        <w:t xml:space="preserve">of prioritization. Candidates flagged as LOD-stable, including the EGFR-axis</w:t>
      </w:r>
      <w:r>
        <w:t xml:space="preserve"> </w:t>
      </w:r>
      <w:r>
        <w:t xml:space="preserve">agents and the leading hub-central candidates, retained their positions across configurations</w:t>
      </w:r>
      <w:r>
        <w:t xml:space="preserve"> </w:t>
      </w:r>
      <w:r>
        <w:t xml:space="preserve">(Table 1, robustness columns), defining a robust core panel.</w:t>
      </w:r>
    </w:p>
    <w:bookmarkEnd w:id="24"/>
    <w:bookmarkEnd w:id="25"/>
    <w:bookmarkStart w:id="26" w:name="discussion"/>
    <w:p>
      <w:pPr>
        <w:pStyle w:val="Heading2"/>
      </w:pPr>
      <w:r>
        <w:t xml:space="preserve">Discussion</w:t>
      </w:r>
    </w:p>
    <w:p>
      <w:pPr>
        <w:pStyle w:val="FirstParagraph"/>
      </w:pPr>
      <w:r>
        <w:t xml:space="preserve">Effective systemic options for HNSCC remain limited, and developing new agents de novo is slow and</w:t>
      </w:r>
      <w:r>
        <w:t xml:space="preserve"> </w:t>
      </w:r>
      <w:r>
        <w:t xml:space="preserve">costly; drug repurposing offers a faster, lower-risk route to deployable therapy</w:t>
      </w:r>
      <w:r>
        <w:t xml:space="preserve"> </w:t>
      </w:r>
      <w:r>
        <w:t xml:space="preserve">(</w:t>
      </w:r>
      <w:r>
        <w:t xml:space="preserve">Pushpakom et al.</w:t>
      </w:r>
      <w:r>
        <w:t xml:space="preserve"> </w:t>
      </w:r>
      <w:r>
        <w:t xml:space="preserve">2019;</w:t>
      </w:r>
      <w:r>
        <w:t xml:space="preserve"> </w:t>
      </w:r>
      <w:r>
        <w:t xml:space="preserve">Tanoli et al.</w:t>
      </w:r>
      <w:r>
        <w:t xml:space="preserve"> </w:t>
      </w:r>
      <w:r>
        <w:t xml:space="preserve">2025)</w:t>
      </w:r>
      <w:r>
        <w:t xml:space="preserve">. Starting from the proteomes of paired HNSCC tumors, this study</w:t>
      </w:r>
      <w:r>
        <w:t xml:space="preserve"> </w:t>
      </w:r>
      <w:r>
        <w:t xml:space="preserve">delivers a mechanistically organized shortlist of repurposing candidates that resolves into four</w:t>
      </w:r>
      <w:r>
        <w:t xml:space="preserve"> </w:t>
      </w:r>
      <w:r>
        <w:t xml:space="preserve">interpretable therapeutic axes: EGFR (cetuximab and other anti-EGFR agents), epigenetic</w:t>
      </w:r>
      <w:r>
        <w:t xml:space="preserve"> </w:t>
      </w:r>
      <w:r>
        <w:t xml:space="preserve">(decitabine, azacitidine, tranylcypromine), proteasome (carfilzomib), and metabolic (metformin).</w:t>
      </w:r>
      <w:r>
        <w:t xml:space="preserve"> </w:t>
      </w:r>
      <w:r>
        <w:t xml:space="preserve">Two observations argue for taking the shortlist seriously. First, without disease-specific tuning,</w:t>
      </w:r>
      <w:r>
        <w:t xml:space="preserve"> </w:t>
      </w:r>
      <w:r>
        <w:t xml:space="preserve">the analysis re-discovered the EGFR axis, the only molecular target with established approved</w:t>
      </w:r>
      <w:r>
        <w:t xml:space="preserve"> </w:t>
      </w:r>
      <w:r>
        <w:t xml:space="preserve">therapy in HNSCC</w:t>
      </w:r>
      <w:r>
        <w:t xml:space="preserve"> </w:t>
      </w:r>
      <w:r>
        <w:t xml:space="preserve">(</w:t>
      </w:r>
      <w:r>
        <w:t xml:space="preserve">Burtness et al.</w:t>
      </w:r>
      <w:r>
        <w:t xml:space="preserve"> </w:t>
      </w:r>
      <w:r>
        <w:t xml:space="preserve">2019; Carosi et al. 2026)</w:t>
      </w:r>
      <w:r>
        <w:t xml:space="preserve">. Second, the direction of change in the prioritized</w:t>
      </w:r>
      <w:r>
        <w:t xml:space="preserve"> </w:t>
      </w:r>
      <w:r>
        <w:t xml:space="preserve">targets was reproduced across two independent cohorts. The prioritization that produced this</w:t>
      </w:r>
      <w:r>
        <w:t xml:space="preserve"> </w:t>
      </w:r>
      <w:r>
        <w:t xml:space="preserve">shortlist weighs where a target sits in the tumor protein network together with how deployable its</w:t>
      </w:r>
      <w:r>
        <w:t xml:space="preserve"> </w:t>
      </w:r>
      <w:r>
        <w:t xml:space="preserve">drug is, rather than fold-change magnitude alone; it is the means by which the candidates are</w:t>
      </w:r>
      <w:r>
        <w:t xml:space="preserve"> </w:t>
      </w:r>
      <w:r>
        <w:t xml:space="preserve">ranked, not the claim of the work.</w:t>
      </w:r>
    </w:p>
    <w:p>
      <w:pPr>
        <w:pStyle w:val="BodyText"/>
      </w:pPr>
      <w:r>
        <w:t xml:space="preserve">The unsupervised recovery of cetuximab at the top of the ranking (composite 0.73), accompanied by</w:t>
      </w:r>
      <w:r>
        <w:t xml:space="preserve"> </w:t>
      </w:r>
      <w:r>
        <w:t xml:space="preserve">other approved EGFR-directed agents, served as an internal positive control: a method that</w:t>
      </w:r>
      <w:r>
        <w:t xml:space="preserve"> </w:t>
      </w:r>
      <w:r>
        <w:t xml:space="preserve">independently elevates the established standard target is more credible when it also nominates less</w:t>
      </w:r>
      <w:r>
        <w:t xml:space="preserve"> </w:t>
      </w:r>
      <w:r>
        <w:t xml:space="preserve">obvious ones. The recovery is consistent with independent HNSCC analyses that converge on EGFR by</w:t>
      </w:r>
      <w:r>
        <w:t xml:space="preserve"> </w:t>
      </w:r>
      <w:r>
        <w:t xml:space="preserve">different routes, including single-cell nominations of anti-EGFR agents</w:t>
      </w:r>
      <w:r>
        <w:t xml:space="preserve"> </w:t>
      </w:r>
      <w:r>
        <w:t xml:space="preserve">(Li et al. 2024)</w:t>
      </w:r>
      <w:r>
        <w:t xml:space="preserve"> </w:t>
      </w:r>
      <w:r>
        <w:t xml:space="preserve">and proteogenomic</w:t>
      </w:r>
      <w:r>
        <w:t xml:space="preserve"> </w:t>
      </w:r>
      <w:r>
        <w:t xml:space="preserve">stratification in which EGFR-high tumors respond to cetuximab in patient-derived xenografts</w:t>
      </w:r>
      <w:r>
        <w:t xml:space="preserve"> </w:t>
      </w:r>
      <w:r>
        <w:t xml:space="preserve">(Wu et al. 2025)</w:t>
      </w:r>
      <w:r>
        <w:t xml:space="preserve">. Beyond this control, the result invites viewing EGFR not as an isolated receptor but</w:t>
      </w:r>
      <w:r>
        <w:t xml:space="preserve"> </w:t>
      </w:r>
      <w:r>
        <w:t xml:space="preserve">as a central hub within a broader signaling network. EGFR is frequently overexpressed in HNSCC, yet</w:t>
      </w:r>
      <w:r>
        <w:t xml:space="preserve"> </w:t>
      </w:r>
      <w:r>
        <w:t xml:space="preserve">single-agent anti-EGFR benefit is limited, a limitation that has been attributed to intrinsic and</w:t>
      </w:r>
      <w:r>
        <w:t xml:space="preserve"> </w:t>
      </w:r>
      <w:r>
        <w:t xml:space="preserve">acquired resistance, including compensatory receptor tyrosine kinase activation, downstream pathway</w:t>
      </w:r>
      <w:r>
        <w:t xml:space="preserve"> </w:t>
      </w:r>
      <w:r>
        <w:t xml:space="preserve">alterations, and epithelial-mesenchymal transition</w:t>
      </w:r>
      <w:r>
        <w:t xml:space="preserve"> </w:t>
      </w:r>
      <w:r>
        <w:t xml:space="preserve">(Carosi et al. 2026)</w:t>
      </w:r>
      <w:r>
        <w:t xml:space="preserve">. Viewing EGFR as a network node</w:t>
      </w:r>
      <w:r>
        <w:t xml:space="preserve"> </w:t>
      </w:r>
      <w:r>
        <w:t xml:space="preserve">rather than a solitary target is consistent with the rationale for the combination strategies (dual</w:t>
      </w:r>
      <w:r>
        <w:t xml:space="preserve"> </w:t>
      </w:r>
      <w:r>
        <w:t xml:space="preserve">EGFR blockade, pan-HER inhibitors, or EGFR inhibition plus immunomodulation) currently being</w:t>
      </w:r>
      <w:r>
        <w:t xml:space="preserve"> </w:t>
      </w:r>
      <w:r>
        <w:t xml:space="preserve">explored to overcome resistance</w:t>
      </w:r>
      <w:r>
        <w:t xml:space="preserve"> </w:t>
      </w:r>
      <w:r>
        <w:t xml:space="preserve">(Carosi et al. 2026; Bhatia and Burtness 2023)</w:t>
      </w:r>
      <w:r>
        <w:t xml:space="preserve">. The same network logic that recovers</w:t>
      </w:r>
      <w:r>
        <w:t xml:space="preserve"> </w:t>
      </w:r>
      <w:r>
        <w:t xml:space="preserve">EGFR also organizes the remaining candidates into interpretable mechanistic axes.</w:t>
      </w:r>
    </w:p>
    <w:p>
      <w:pPr>
        <w:pStyle w:val="BodyText"/>
      </w:pPr>
      <w:r>
        <w:t xml:space="preserve">Two non-canonical axes are the most novel nominations. The epigenetic axis, anchored by DNMT1</w:t>
      </w:r>
      <w:r>
        <w:t xml:space="preserve"> </w:t>
      </w:r>
      <w:r>
        <w:t xml:space="preserve">(decitabine, azacitidine) and MAOA (tranylcypromine), implicates chromatin and DNA-methylation</w:t>
      </w:r>
      <w:r>
        <w:t xml:space="preserve"> </w:t>
      </w:r>
      <w:r>
        <w:t xml:space="preserve">regulators as an integral part of the HNSCC tumor state rather than only a secondary</w:t>
      </w:r>
      <w:r>
        <w:t xml:space="preserve"> </w:t>
      </w:r>
      <w:r>
        <w:t xml:space="preserve">epiphenomenon. This axis carries a plausible translational rationale: DNA methyltransferase</w:t>
      </w:r>
      <w:r>
        <w:t xml:space="preserve"> </w:t>
      </w:r>
      <w:r>
        <w:t xml:space="preserve">inhibition can increase tumor immunogenicity and remodel the immune microenvironment, which</w:t>
      </w:r>
      <w:r>
        <w:t xml:space="preserve"> </w:t>
      </w:r>
      <w:r>
        <w:t xml:space="preserve">provides a mechanistic basis for combining hypomethylating agents with immune-checkpoint inhibitors</w:t>
      </w:r>
      <w:r>
        <w:t xml:space="preserve"> </w:t>
      </w:r>
      <w:r>
        <w:t xml:space="preserve">(Bear et al. 2025)</w:t>
      </w:r>
      <w:r>
        <w:t xml:space="preserve">. A recent phase 2 window trial reported that decitabine followed by pembrolizumab</w:t>
      </w:r>
      <w:r>
        <w:t xml:space="preserve"> </w:t>
      </w:r>
      <w:r>
        <w:t xml:space="preserve">increased tumor-infiltrating lymphocytes and PD-L1 expression and reduced myeloid-derived</w:t>
      </w:r>
      <w:r>
        <w:t xml:space="preserve"> </w:t>
      </w:r>
      <w:r>
        <w:t xml:space="preserve">suppressor cells before standard therapy</w:t>
      </w:r>
      <w:r>
        <w:t xml:space="preserve"> </w:t>
      </w:r>
      <w:r>
        <w:t xml:space="preserve">(Bear et al. 2025)</w:t>
      </w:r>
      <w:r>
        <w:t xml:space="preserve">, illustrating the prime-then-checkpoint</w:t>
      </w:r>
      <w:r>
        <w:t xml:space="preserve"> </w:t>
      </w:r>
      <w:r>
        <w:t xml:space="preserve">strategy that our epigenetic nominations would support, an approach now being explored clinically.</w:t>
      </w:r>
      <w:r>
        <w:t xml:space="preserve"> </w:t>
      </w:r>
      <w:r>
        <w:t xml:space="preserve">The proteasome axis, anchored by the 20S subunits PSMA2 and PSMB3 (carfilzomib), points to a</w:t>
      </w:r>
      <w:r>
        <w:t xml:space="preserve"> </w:t>
      </w:r>
      <w:r>
        <w:t xml:space="preserve">possible dependence on protein homeostasis: a high biosynthetic burden and accumulation of</w:t>
      </w:r>
      <w:r>
        <w:t xml:space="preserve"> </w:t>
      </w:r>
      <w:r>
        <w:t xml:space="preserve">misfolded proteins could render HNSCC cells reliant on proteasomal clearance, a vulnerability that</w:t>
      </w:r>
      <w:r>
        <w:t xml:space="preserve"> </w:t>
      </w:r>
      <w:r>
        <w:t xml:space="preserve">next-generation proteasome inhibitors such as carfilzomib and oprozomib have been reported to</w:t>
      </w:r>
      <w:r>
        <w:t xml:space="preserve"> </w:t>
      </w:r>
      <w:r>
        <w:t xml:space="preserve">exploit in HNSCC preclinical models, in part through induction of the unfolded protein response</w:t>
      </w:r>
      <w:r>
        <w:t xml:space="preserve"> </w:t>
      </w:r>
      <w:r>
        <w:t xml:space="preserve">(Zang et al. 2012)</w:t>
      </w:r>
      <w:r>
        <w:t xml:space="preserve">. Proteostasis targeting is clinically established in hematologic malignancies but</w:t>
      </w:r>
      <w:r>
        <w:t xml:space="preserve"> </w:t>
      </w:r>
      <w:r>
        <w:t xml:space="preserve">comparatively under-explored in solid tumors such as HNSCC</w:t>
      </w:r>
      <w:r>
        <w:t xml:space="preserve"> </w:t>
      </w:r>
      <w:r>
        <w:t xml:space="preserve">(Zang et al. 2012)</w:t>
      </w:r>
      <w:r>
        <w:t xml:space="preserve">, which positions this axis</w:t>
      </w:r>
      <w:r>
        <w:t xml:space="preserve"> </w:t>
      </w:r>
      <w:r>
        <w:t xml:space="preserve">as a hypothesis worth dedicated preclinical testing rather than an established therapy. A feature</w:t>
      </w:r>
      <w:r>
        <w:t xml:space="preserve"> </w:t>
      </w:r>
      <w:r>
        <w:t xml:space="preserve">that distinguishes both axes from EGFR is that their anchors are differentially abundant nodes whose</w:t>
      </w:r>
      <w:r>
        <w:t xml:space="preserve"> </w:t>
      </w:r>
      <w:r>
        <w:t xml:space="preserve">proposed therapeutic logic would be reprogramming or stress-exploitation rather than the simple</w:t>
      </w:r>
      <w:r>
        <w:t xml:space="preserve"> </w:t>
      </w:r>
      <w:r>
        <w:t xml:space="preserve">inhibition of an overexpressed driver.</w:t>
      </w:r>
    </w:p>
    <w:p>
      <w:pPr>
        <w:pStyle w:val="BodyText"/>
      </w:pPr>
      <w:r>
        <w:t xml:space="preserve">The metabolic axis requires the most careful framing. Unlike EGFR, which is over-abundant and</w:t>
      </w:r>
      <w:r>
        <w:t xml:space="preserve"> </w:t>
      </w:r>
      <w:r>
        <w:t xml:space="preserve">addressed by direct inhibition, Complex I subunits were robustly under-abundant in tumors</w:t>
      </w:r>
      <w:r>
        <w:t xml:space="preserve"> </w:t>
      </w:r>
      <w:r>
        <w:t xml:space="preserve">(NDUFS2 log2FC = -3.05), a direction reproduced in both the CPTAC proteome and the TCGA</w:t>
      </w:r>
      <w:r>
        <w:t xml:space="preserve"> </w:t>
      </w:r>
      <w:r>
        <w:t xml:space="preserve">transcriptome and consistent with a glycolytic, Warburg-like shift. Metformin rose to the top of</w:t>
      </w:r>
      <w:r>
        <w:t xml:space="preserve"> </w:t>
      </w:r>
      <w:r>
        <w:t xml:space="preserve">the metabolic module (composite 0.59) through the high network centrality of its anchor, NDUFS2,</w:t>
      </w:r>
      <w:r>
        <w:t xml:space="preserve"> </w:t>
      </w:r>
      <w:r>
        <w:t xml:space="preserve">independent of fold-change direction. Its nomination therefore rests on a metabolic-vulnerability</w:t>
      </w:r>
      <w:r>
        <w:t xml:space="preserve"> </w:t>
      </w:r>
      <w:r>
        <w:t xml:space="preserve">rationale rather than on target overexpression: residual oxidative-phosphorylation dependence may</w:t>
      </w:r>
      <w:r>
        <w:t xml:space="preserve"> </w:t>
      </w:r>
      <w:r>
        <w:t xml:space="preserve">remain a targetable feature of cancer cells, and Complex I inhibition has been reported to exert</w:t>
      </w:r>
      <w:r>
        <w:t xml:space="preserve"> </w:t>
      </w:r>
      <w:r>
        <w:t xml:space="preserve">immunometabolic effects on the tumor microenvironment</w:t>
      </w:r>
      <w:r>
        <w:t xml:space="preserve"> </w:t>
      </w:r>
      <w:r>
        <w:t xml:space="preserve">(Pujalte-Martin et al. 2024)</w:t>
      </w:r>
      <w:r>
        <w:t xml:space="preserve">. In HNSCC specifically,</w:t>
      </w:r>
      <w:r>
        <w:t xml:space="preserve"> </w:t>
      </w:r>
      <w:r>
        <w:t xml:space="preserve">metformin use has been associated with improved outcomes and may act in part through immune</w:t>
      </w:r>
      <w:r>
        <w:t xml:space="preserve"> </w:t>
      </w:r>
      <w:r>
        <w:t xml:space="preserve">mechanisms, including increased CD8+ infiltration and enhanced natural-killer-cell cytotoxicity</w:t>
      </w:r>
      <w:r>
        <w:t xml:space="preserve"> </w:t>
      </w:r>
      <w:r>
        <w:t xml:space="preserve">(Curry et al. 2018; Crist et al. 2022)</w:t>
      </w:r>
      <w:r>
        <w:t xml:space="preserve">. Because single-agent metformin trials have been less effective than</w:t>
      </w:r>
      <w:r>
        <w:t xml:space="preserve"> </w:t>
      </w:r>
      <w:r>
        <w:t xml:space="preserve">observational data suggested</w:t>
      </w:r>
      <w:r>
        <w:t xml:space="preserve"> </w:t>
      </w:r>
      <w:r>
        <w:t xml:space="preserve">(Pujalte-Martin et al. 2024)</w:t>
      </w:r>
      <w:r>
        <w:t xml:space="preserve">, and early-phase HNSCC studies indicate</w:t>
      </w:r>
      <w:r>
        <w:t xml:space="preserve"> </w:t>
      </w:r>
      <w:r>
        <w:t xml:space="preserve">tolerability in combination with chemoradiation</w:t>
      </w:r>
      <w:r>
        <w:t xml:space="preserve"> </w:t>
      </w:r>
      <w:r>
        <w:t xml:space="preserve">(Kemnade et al. 2023)</w:t>
      </w:r>
      <w:r>
        <w:t xml:space="preserve">, we position metformin as a</w:t>
      </w:r>
      <w:r>
        <w:t xml:space="preserve"> </w:t>
      </w:r>
      <w:r>
        <w:t xml:space="preserve">combination candidate (with chemoradiation or immunotherapy) rather than as a single-agent</w:t>
      </w:r>
      <w:r>
        <w:t xml:space="preserve"> </w:t>
      </w:r>
      <w:r>
        <w:t xml:space="preserve">inhibitor of an over-expressed target.</w:t>
      </w:r>
    </w:p>
    <w:p>
      <w:pPr>
        <w:pStyle w:val="BodyText"/>
      </w:pPr>
      <w:r>
        <w:t xml:space="preserve">More broadly, this study sits within, but is distinct from, prior repurposing efforts in HNSCC.</w:t>
      </w:r>
      <w:r>
        <w:t xml:space="preserve"> </w:t>
      </w:r>
      <w:r>
        <w:t xml:space="preserve">Experimental high-throughput screens nominate candidates directly from drug response but depend on</w:t>
      </w:r>
      <w:r>
        <w:t xml:space="preserve"> </w:t>
      </w:r>
      <w:r>
        <w:t xml:space="preserve">dedicated cell or patient-derived-cell resources</w:t>
      </w:r>
      <w:r>
        <w:t xml:space="preserve"> </w:t>
      </w:r>
      <w:r>
        <w:t xml:space="preserve">(Gu et al. 2022)</w:t>
      </w:r>
      <w:r>
        <w:t xml:space="preserve">, whereas existing in silico efforts have</w:t>
      </w:r>
      <w:r>
        <w:t xml:space="preserve"> </w:t>
      </w:r>
      <w:r>
        <w:t xml:space="preserve">typically operated on transcriptomic or genomic data from public repositories and converged on a</w:t>
      </w:r>
      <w:r>
        <w:t xml:space="preserve"> </w:t>
      </w:r>
      <w:r>
        <w:t xml:space="preserve">single hub target and a single drug</w:t>
      </w:r>
      <w:r>
        <w:t xml:space="preserve"> </w:t>
      </w:r>
      <w:r>
        <w:t xml:space="preserve">(Kumar et al. 2025)</w:t>
      </w:r>
      <w:r>
        <w:t xml:space="preserve">, or have applied network-medicine frameworks to</w:t>
      </w:r>
      <w:r>
        <w:t xml:space="preserve"> </w:t>
      </w:r>
      <w:r>
        <w:t xml:space="preserve">pan-cancer interactome modules rather than to a disease-specific proteome</w:t>
      </w:r>
      <w:r>
        <w:t xml:space="preserve"> </w:t>
      </w:r>
      <w:r>
        <w:t xml:space="preserve">(Cheng et al. 2019; Barabási et al. 2011)</w:t>
      </w:r>
      <w:r>
        <w:t xml:space="preserve">.</w:t>
      </w:r>
      <w:r>
        <w:t xml:space="preserve"> </w:t>
      </w:r>
      <w:r>
        <w:t xml:space="preserve">Our contribution is the combination of three features: a paired tumor/normal DIA proteome as the</w:t>
      </w:r>
      <w:r>
        <w:t xml:space="preserve"> </w:t>
      </w:r>
      <w:r>
        <w:t xml:space="preserve">substrate, closer to the functional effector layer than mRNA; a network-centrality and</w:t>
      </w:r>
      <w:r>
        <w:t xml:space="preserve"> </w:t>
      </w:r>
      <w:r>
        <w:t xml:space="preserve">drug-deployability composite that resolves into several mechanistic axes rather than one target; and</w:t>
      </w:r>
      <w:r>
        <w:t xml:space="preserve"> </w:t>
      </w:r>
      <w:r>
        <w:t xml:space="preserve">directional corroboration across two external cohorts. By design the composite is dominated by</w:t>
      </w:r>
      <w:r>
        <w:t xml:space="preserve"> </w:t>
      </w:r>
      <w:r>
        <w:t xml:space="preserve">network centrality (Spearman rho approximately 0.78 with centrality alone): centrality carries the</w:t>
      </w:r>
      <w:r>
        <w:t xml:space="preserve"> </w:t>
      </w:r>
      <w:r>
        <w:t xml:space="preserve">biological signal, while the drug-level DrugViability term determines which agent to advance among</w:t>
      </w:r>
      <w:r>
        <w:t xml:space="preserve"> </w:t>
      </w:r>
      <w:r>
        <w:t xml:space="preserve">compounds that share a prioritized target. We therefore present the score as a transparent</w:t>
      </w:r>
      <w:r>
        <w:t xml:space="preserve"> </w:t>
      </w:r>
      <w:r>
        <w:t xml:space="preserve">aggregation of evidence rather than as a method whose superiority over fold-change or database-count</w:t>
      </w:r>
      <w:r>
        <w:t xml:space="preserve"> </w:t>
      </w:r>
      <w:r>
        <w:t xml:space="preserve">ranking is established, a comparison that would require dedicated benchmarking</w:t>
      </w:r>
      <w:r>
        <w:t xml:space="preserve"> </w:t>
      </w:r>
      <w:r>
        <w:t xml:space="preserve">(</w:t>
      </w:r>
      <w:r>
        <w:t xml:space="preserve">Pushpakom et al.</w:t>
      </w:r>
      <w:r>
        <w:t xml:space="preserve"> </w:t>
      </w:r>
      <w:r>
        <w:t xml:space="preserve">2019;</w:t>
      </w:r>
      <w:r>
        <w:t xml:space="preserve"> </w:t>
      </w:r>
      <w:r>
        <w:t xml:space="preserve">Tanoli et al.</w:t>
      </w:r>
      <w:r>
        <w:t xml:space="preserve"> </w:t>
      </w:r>
      <w:r>
        <w:t xml:space="preserve">2025; Flanary et al. 2023)</w:t>
      </w:r>
      <w:r>
        <w:t xml:space="preserve">. Several prioritized agents are approved for</w:t>
      </w:r>
      <w:r>
        <w:t xml:space="preserve"> </w:t>
      </w:r>
      <w:r>
        <w:t xml:space="preserve">non-oncologic indications (valproate, acetazolamide, disulfiram) and could in principle offer</w:t>
      </w:r>
      <w:r>
        <w:t xml:space="preserve"> </w:t>
      </w:r>
      <w:r>
        <w:t xml:space="preserve">short-horizon, accessible repurposing options. Because single-agent repurposing has frequently</w:t>
      </w:r>
      <w:r>
        <w:t xml:space="preserve"> </w:t>
      </w:r>
      <w:r>
        <w:t xml:space="preserve">failed in HNSCC, as in a randomized trial of pantoprazole added to systemic therapy</w:t>
      </w:r>
      <w:r>
        <w:t xml:space="preserve"> </w:t>
      </w:r>
      <w:r>
        <w:t xml:space="preserve">(Noronha et al. 2023)</w:t>
      </w:r>
      <w:r>
        <w:t xml:space="preserve">,</w:t>
      </w:r>
      <w:r>
        <w:t xml:space="preserve"> </w:t>
      </w:r>
      <w:r>
        <w:t xml:space="preserve">and because the field is shifting toward perioperative, immunotherapy-based regimens in resectable</w:t>
      </w:r>
      <w:r>
        <w:t xml:space="preserve"> </w:t>
      </w:r>
      <w:r>
        <w:t xml:space="preserve">disease</w:t>
      </w:r>
      <w:r>
        <w:t xml:space="preserve"> </w:t>
      </w:r>
      <w:r>
        <w:t xml:space="preserve">(</w:t>
      </w:r>
      <w:r>
        <w:t xml:space="preserve">Uppaluri et al.</w:t>
      </w:r>
      <w:r>
        <w:t xml:space="preserve"> </w:t>
      </w:r>
      <w:r>
        <w:t xml:space="preserve">2025)</w:t>
      </w:r>
      <w:r>
        <w:t xml:space="preserve">, the prioritized agents are best positioned as combination candidates:</w:t>
      </w:r>
      <w:r>
        <w:t xml:space="preserve"> </w:t>
      </w:r>
      <w:r>
        <w:t xml:space="preserve">those that prime or sensitize the tumor microenvironment could complement checkpoint blockade, as</w:t>
      </w:r>
      <w:r>
        <w:t xml:space="preserve"> </w:t>
      </w:r>
      <w:r>
        <w:t xml:space="preserve">illustrated by repurposed fenofibrate in HPV+ models</w:t>
      </w:r>
      <w:r>
        <w:t xml:space="preserve"> </w:t>
      </w:r>
      <w:r>
        <w:t xml:space="preserve">(O’Neill et al. 2022)</w:t>
      </w:r>
      <w:r>
        <w:t xml:space="preserve">, although our data speak to</w:t>
      </w:r>
      <w:r>
        <w:t xml:space="preserve"> </w:t>
      </w:r>
      <w:r>
        <w:t xml:space="preserve">target biology rather than to patient selection.</w:t>
      </w:r>
    </w:p>
    <w:p>
      <w:pPr>
        <w:pStyle w:val="BodyText"/>
      </w:pPr>
      <w:r>
        <w:t xml:space="preserve">Several limitations bound these conclusions. The discovery cohort is small (10 paired specimens);</w:t>
      </w:r>
      <w:r>
        <w:t xml:space="preserve"> </w:t>
      </w:r>
      <w:r>
        <w:t xml:space="preserve">cross-cohort corroboration mitigates but does not replace adequately powered confirmation. Tumor</w:t>
      </w:r>
      <w:r>
        <w:t xml:space="preserve"> </w:t>
      </w:r>
      <w:r>
        <w:t xml:space="preserve">and adjacent-normal specimens differ in cellular composition, and muscle and respiratory-mucosa</w:t>
      </w:r>
      <w:r>
        <w:t xml:space="preserve"> </w:t>
      </w:r>
      <w:r>
        <w:t xml:space="preserve">signals in the down-regulated proteome likely reflect tissue context rather than tumor-intrinsic</w:t>
      </w:r>
      <w:r>
        <w:t xml:space="preserve"> </w:t>
      </w:r>
      <w:r>
        <w:t xml:space="preserve">biology; hallmark terms such as Myogenesis and Adipogenesis should be read accordingly, although</w:t>
      </w:r>
      <w:r>
        <w:t xml:space="preserve"> </w:t>
      </w:r>
      <w:r>
        <w:t xml:space="preserve">sensitivity analyses excluding tissue-composition markers left the prioritized targets and the</w:t>
      </w:r>
      <w:r>
        <w:t xml:space="preserve"> </w:t>
      </w:r>
      <w:r>
        <w:t xml:space="preserve">oxidative-phosphorylation axis essentially unchanged. Data-independent acquisition with MinProb</w:t>
      </w:r>
      <w:r>
        <w:t xml:space="preserve"> </w:t>
      </w:r>
      <w:r>
        <w:t xml:space="preserve">imputation can mildly bias proteins absent from tumor tissue toward apparent under-abundance, an</w:t>
      </w:r>
      <w:r>
        <w:t xml:space="preserve"> </w:t>
      </w:r>
      <w:r>
        <w:t xml:space="preserve">effect that appears to be largely genuine biology and affected only a small minority of</w:t>
      </w:r>
      <w:r>
        <w:t xml:space="preserve"> </w:t>
      </w:r>
      <w:r>
        <w:t xml:space="preserve">under-abundant proteins. The differential-abundance component of the score is directional,</w:t>
      </w:r>
      <w:r>
        <w:t xml:space="preserve"> </w:t>
      </w:r>
      <w:r>
        <w:t xml:space="preserve">rewarding inhibition of over-abundant targets, so under-abundant or potential tumor-suppressor</w:t>
      </w:r>
      <w:r>
        <w:t xml:space="preserve"> </w:t>
      </w:r>
      <w:r>
        <w:t xml:space="preserve">nodes are structurally down-weighted and reach prioritization mainly through centrality, as for the</w:t>
      </w:r>
      <w:r>
        <w:t xml:space="preserve"> </w:t>
      </w:r>
      <w:r>
        <w:t xml:space="preserve">metabolic axis. Crucially, the external cohorts corroborate the direction of change in the</w:t>
      </w:r>
      <w:r>
        <w:t xml:space="preserve"> </w:t>
      </w:r>
      <w:r>
        <w:t xml:space="preserve">prioritized targets; they do not test drug efficacy or the candidate rank order, and four anchors</w:t>
      </w:r>
      <w:r>
        <w:t xml:space="preserve"> </w:t>
      </w:r>
      <w:r>
        <w:t xml:space="preserve">(PDE6D, CA2, CDA, RPS11) were weakly concordant or discordant and should be treated as</w:t>
      </w:r>
      <w:r>
        <w:t xml:space="preserve"> </w:t>
      </w:r>
      <w:r>
        <w:t xml:space="preserve">lower-confidence nominations.</w:t>
      </w:r>
    </w:p>
    <w:p>
      <w:pPr>
        <w:pStyle w:val="BodyText"/>
      </w:pPr>
      <w:r>
        <w:t xml:space="preserve">This is an in silico prioritization, so the candidates are hypotheses that require functional</w:t>
      </w:r>
      <w:r>
        <w:t xml:space="preserve"> </w:t>
      </w:r>
      <w:r>
        <w:t xml:space="preserve">validation, and the axes suggest concrete next experiments. The epigenetic axis is most directly</w:t>
      </w:r>
      <w:r>
        <w:t xml:space="preserve"> </w:t>
      </w:r>
      <w:r>
        <w:t xml:space="preserve">testable through a prime-then-checkpoint sequence, decitabine or azacitidine followed by PD-1</w:t>
      </w:r>
      <w:r>
        <w:t xml:space="preserve"> </w:t>
      </w:r>
      <w:r>
        <w:t xml:space="preserve">blockade, in immunocompetent HNSCC models with readouts of tumor-infiltrating lymphocytes and PD-L1</w:t>
      </w:r>
      <w:r>
        <w:t xml:space="preserve"> </w:t>
      </w:r>
      <w:r>
        <w:t xml:space="preserve">(Bear et al. 2025)</w:t>
      </w:r>
      <w:r>
        <w:t xml:space="preserve">. The proteasome axis warrants dose-response testing of carfilzomib in HNSCC cell lines</w:t>
      </w:r>
      <w:r>
        <w:t xml:space="preserve"> </w:t>
      </w:r>
      <w:r>
        <w:t xml:space="preserve">and patient-derived xenografts with an unfolded-protein-response readout, the under-explored axis</w:t>
      </w:r>
      <w:r>
        <w:t xml:space="preserve"> </w:t>
      </w:r>
      <w:r>
        <w:t xml:space="preserve">with the least precedent in solid tumors</w:t>
      </w:r>
      <w:r>
        <w:t xml:space="preserve"> </w:t>
      </w:r>
      <w:r>
        <w:t xml:space="preserve">(Zang et al. 2012)</w:t>
      </w:r>
      <w:r>
        <w:t xml:space="preserve">. The metabolic axis is the closest to the</w:t>
      </w:r>
      <w:r>
        <w:t xml:space="preserve"> </w:t>
      </w:r>
      <w:r>
        <w:t xml:space="preserve">clinic and is best advanced as metformin combined with chemoradiation or checkpoint blockade rather</w:t>
      </w:r>
      <w:r>
        <w:t xml:space="preserve"> </w:t>
      </w:r>
      <w:r>
        <w:t xml:space="preserve">than as monotherapy, building on early-phase tolerability data</w:t>
      </w:r>
      <w:r>
        <w:t xml:space="preserve"> </w:t>
      </w:r>
      <w:r>
        <w:t xml:space="preserve">(Kemnade et al. 2023)</w:t>
      </w:r>
      <w:r>
        <w:t xml:space="preserve">. Within these bounds,</w:t>
      </w:r>
      <w:r>
        <w:t xml:space="preserve"> </w:t>
      </w:r>
      <w:r>
        <w:t xml:space="preserve">the study offers a credible, mechanism-organized set of repurposing candidates and a prioritized</w:t>
      </w:r>
      <w:r>
        <w:t xml:space="preserve"> </w:t>
      </w:r>
      <w:r>
        <w:t xml:space="preserve">agenda for preclinical and combination-trial follow-up in HNSCC.</w:t>
      </w:r>
    </w:p>
    <w:bookmarkEnd w:id="26"/>
    <w:bookmarkEnd w:id="27"/>
    <w:bookmarkStart w:id="46" w:name="figures"/>
    <w:p>
      <w:pPr>
        <w:pStyle w:val="Heading1"/>
      </w:pPr>
      <w:r>
        <w:t xml:space="preserve">Figures</w:t>
      </w:r>
    </w:p>
    <w:p>
      <w:pPr>
        <w:pStyle w:val="FirstParagraph"/>
      </w:pPr>
      <w:r>
        <w:drawing>
          <wp:inline>
            <wp:extent cx="5334000" cy="2581427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../../results/figures/pub/main/Fig1_workflow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1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1. Study design and analytical workflow.</w:t>
      </w:r>
    </w:p>
    <w:p>
      <w:pPr>
        <w:pStyle w:val="BodyText"/>
      </w:pPr>
      <w:r>
        <w:t xml:space="preserve">Overview of the drug-repurposing pipeline for head and neck squamous cell carcinoma (HNSCC),</w:t>
      </w:r>
      <w:r>
        <w:t xml:space="preserve"> </w:t>
      </w:r>
      <w:r>
        <w:t xml:space="preserve">color-coded by stage. Ten paired tumor / adjacent-normal specimens were profiled by</w:t>
      </w:r>
      <w:r>
        <w:t xml:space="preserve"> </w:t>
      </w:r>
      <w:r>
        <w:t xml:space="preserve">data-independent acquisition (DIA) mass spectrometry (MaxQuant), yielding 3,352 quantified</w:t>
      </w:r>
      <w:r>
        <w:t xml:space="preserve"> </w:t>
      </w:r>
      <w:r>
        <w:t xml:space="preserve">proteins. Differential abundance (limma, paired contrast; |log₂FC| &gt; 1, FDR &lt; 0.05) defined the</w:t>
      </w:r>
      <w:r>
        <w:t xml:space="preserve"> </w:t>
      </w:r>
      <w:r>
        <w:t xml:space="preserve">tumor proteomic signature (666 differentially abundant proteins; 329 increased, 337 decreased in</w:t>
      </w:r>
      <w:r>
        <w:t xml:space="preserve"> </w:t>
      </w:r>
      <w:r>
        <w:t xml:space="preserve">tumor), which was mapped to 458 multi-source candidate drugs across four resources (DGIdb, ChEMBL,</w:t>
      </w:r>
      <w:r>
        <w:t xml:space="preserve"> </w:t>
      </w:r>
      <w:r>
        <w:t xml:space="preserve">Open Targets, L2S2). Targets were placed in a tumor protein–protein interaction (PPI) network</w:t>
      </w:r>
      <w:r>
        <w:t xml:space="preserve"> </w:t>
      </w:r>
      <w:r>
        <w:t xml:space="preserve">(STRING), partitioned into Louvain modules, and each candidate was scored by a two-factor composite</w:t>
      </w:r>
      <w:r>
        <w:t xml:space="preserve"> </w:t>
      </w:r>
      <w:r>
        <w:t xml:space="preserve">(0.60·TargetPriority + 0.40·DrugViability) that anchors every drug to its most credible central</w:t>
      </w:r>
      <w:r>
        <w:t xml:space="preserve"> </w:t>
      </w:r>
      <w:r>
        <w:t xml:space="preserve">target. Robustness was assessed across weight configurations and a limit-of-detection (LOD)</w:t>
      </w:r>
      <w:r>
        <w:t xml:space="preserve"> </w:t>
      </w:r>
      <w:r>
        <w:t xml:space="preserve">filter, and the directionality of prioritized targets was corroborated in two independent cohorts</w:t>
      </w:r>
      <w:r>
        <w:t xml:space="preserve"> </w:t>
      </w:r>
      <w:r>
        <w:t xml:space="preserve">(CPTAC-HNSCC proteome; TCGA-HNSC transcriptome).</w:t>
      </w:r>
    </w:p>
    <w:p>
      <w:pPr>
        <w:pStyle w:val="BodyText"/>
      </w:pPr>
      <w:r>
        <w:drawing>
          <wp:inline>
            <wp:extent cx="5334000" cy="632559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../../results/figures/pub/main/Fig2_multipanel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25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2. The HNSCC tumor proteome is broadly and coherently remodeled.</w:t>
      </w:r>
    </w:p>
    <w:p>
      <w:pPr>
        <w:pStyle w:val="Compact"/>
        <w:numPr>
          <w:ilvl w:val="0"/>
          <w:numId w:val="1001"/>
        </w:numPr>
      </w:pPr>
      <w:r>
        <w:t xml:space="preserve">Volcano plot of differential protein abundance in tumor versus adjacent-normal tissue</w:t>
      </w:r>
      <w:r>
        <w:t xml:space="preserve"> </w:t>
      </w:r>
      <w:r>
        <w:t xml:space="preserve">(limma paired contrast; n = 10 pairs). Of 3,352 quantified proteins, 666 were differentially</w:t>
      </w:r>
      <w:r>
        <w:t xml:space="preserve"> </w:t>
      </w:r>
      <w:r>
        <w:t xml:space="preserve">abundant (FDR &lt; 0.05, |log₂FC| &gt; 1): 329 over- and 337 under-abundant in tumor. Labels mark</w:t>
      </w:r>
      <w:r>
        <w:t xml:space="preserve"> </w:t>
      </w:r>
      <w:r>
        <w:t xml:space="preserve">proteins with |log₂FC| &gt; 3.5 and FDR &lt; 0.01 plus a fixed set of mechanistically relevant targets</w:t>
      </w:r>
      <w:r>
        <w:t xml:space="preserve"> </w:t>
      </w:r>
      <w:r>
        <w:t xml:space="preserve">(e.g., EGFR, proteasome and Complex I subunits, DNMT1); labeling is illustrative and does not</w:t>
      </w:r>
      <w:r>
        <w:t xml:space="preserve"> </w:t>
      </w:r>
      <w:r>
        <w:t xml:space="preserve">affect the analysis. (B) Heatmap of the 20 most over- and 20 most under-abundant proteins</w:t>
      </w:r>
      <w:r>
        <w:t xml:space="preserve"> </w:t>
      </w:r>
      <w:r>
        <w:t xml:space="preserve">detected in all 20 samples (100% completeness, no imputation); rows are proteins, columns are</w:t>
      </w:r>
      <w:r>
        <w:t xml:space="preserve"> </w:t>
      </w:r>
      <w:r>
        <w:t xml:space="preserve">samples, color shows z-scored abundance. (C) Hallmark gene-set enrichment analysis (GSEA,</w:t>
      </w:r>
      <w:r>
        <w:t xml:space="preserve"> </w:t>
      </w:r>
      <w:r>
        <w:t xml:space="preserve">MSigDB Hallmark, all 50 sets tested); the gene sets reaching FDR &lt; 0.05 are shown, ordered by the</w:t>
      </w:r>
      <w:r>
        <w:t xml:space="preserve"> </w:t>
      </w:r>
      <w:r>
        <w:t xml:space="preserve">π-statistic [sign(log₂FC) × |log₂FC| × −log₁₀(FDR)]. Bars encode normalized enrichment score</w:t>
      </w:r>
      <w:r>
        <w:t xml:space="preserve"> </w:t>
      </w:r>
      <w:r>
        <w:t xml:space="preserve">(NES); the oxidative-phosphorylation signature is among the strongest down-regulated programs</w:t>
      </w:r>
      <w:r>
        <w:t xml:space="preserve"> </w:t>
      </w:r>
      <w:r>
        <w:t xml:space="preserve">(NES ≈ −2.2).</w:t>
      </w:r>
    </w:p>
    <w:p>
      <w:pPr>
        <w:pStyle w:val="FirstParagraph"/>
      </w:pPr>
      <w:r>
        <w:drawing>
          <wp:inline>
            <wp:extent cx="5334000" cy="4161315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../../results/figures/pub/main/Fig3_multipanel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1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3. A reproducible, multi-source druggable candidate space.</w:t>
      </w:r>
    </w:p>
    <w:p>
      <w:pPr>
        <w:pStyle w:val="BodyText"/>
      </w:pPr>
      <w:r>
        <w:t xml:space="preserve">Characterization of the 458 multi-source candidate drugs: agents with support in ≥ 2 databases</w:t>
      </w:r>
      <w:r>
        <w:t xml:space="preserve"> </w:t>
      </w:r>
      <w:r>
        <w:t xml:space="preserve">or already approved (regulatory class A/B, retained even with a single source), minus a</w:t>
      </w:r>
      <w:r>
        <w:t xml:space="preserve"> </w:t>
      </w:r>
      <w:r>
        <w:t xml:space="preserve">curated exclusion list. All three panels describe this same set. (A) Distribution of maximum</w:t>
      </w:r>
      <w:r>
        <w:t xml:space="preserve"> </w:t>
      </w:r>
      <w:r>
        <w:t xml:space="preserve">clinical phase. (B) Distribution of ordinal regulatory class (A = approved with HNSCC</w:t>
      </w:r>
      <w:r>
        <w:t xml:space="preserve"> </w:t>
      </w:r>
      <w:r>
        <w:t xml:space="preserve">evidence; B = approved in another cancer; C = approved non-oncological; D = experimental). (C)</w:t>
      </w:r>
      <w:r>
        <w:t xml:space="preserve"> </w:t>
      </w:r>
      <w:r>
        <w:t xml:space="preserve">UpSet plot of candidate overlap across the four sources (DGIdb, ChEMBL, Open Targets, L2S2),</w:t>
      </w:r>
      <w:r>
        <w:t xml:space="preserve"> </w:t>
      </w:r>
      <w:r>
        <w:t xml:space="preserve">showing the intersection structure that defines multi-source support.</w:t>
      </w:r>
    </w:p>
    <w:p>
      <w:pPr>
        <w:pStyle w:val="BodyText"/>
      </w:pPr>
      <w:r>
        <w:drawing>
          <wp:inline>
            <wp:extent cx="5334000" cy="4315026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../../results/figures/pub/main/Fig4_multipanel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5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4. Network modules organize targets into druggable mechanistic axes.</w:t>
      </w:r>
    </w:p>
    <w:p>
      <w:pPr>
        <w:pStyle w:val="Compact"/>
        <w:numPr>
          <w:ilvl w:val="0"/>
          <w:numId w:val="1002"/>
        </w:numPr>
      </w:pPr>
      <w:r>
        <w:t xml:space="preserve">Tumor PPI network (STRING) arranged with a stress layout that emphasizes intra-module</w:t>
      </w:r>
      <w:r>
        <w:t xml:space="preserve"> </w:t>
      </w:r>
      <w:r>
        <w:t xml:space="preserve">edges, colored by Louvain module and data-driven drugability tier: approved modules (≥ 1</w:t>
      </w:r>
      <w:r>
        <w:t xml:space="preserve"> </w:t>
      </w:r>
      <w:r>
        <w:t xml:space="preserve">approved drug targeting a module node; 11 modules, individual colors), hubs-only modules (0</w:t>
      </w:r>
      <w:r>
        <w:t xml:space="preserve"> </w:t>
      </w:r>
      <w:r>
        <w:t xml:space="preserve">approved but ≥ 2 druggable hubs; slate), and below-threshold modules (gray). Gray modules still</w:t>
      </w:r>
      <w:r>
        <w:t xml:space="preserve"> </w:t>
      </w:r>
      <w:r>
        <w:t xml:space="preserve">contain druggable hubs (36/99 of the total) and prioritized targets (e.g., DNMT1 → decitabine in</w:t>
      </w:r>
      <w:r>
        <w:t xml:space="preserve"> </w:t>
      </w:r>
      <w:r>
        <w:t xml:space="preserve">the chromatin-remodeling module); color marks the mechanistic axes, not exclusivity of targets. (B) Representative enriched</w:t>
      </w:r>
      <w:r>
        <w:t xml:space="preserve"> </w:t>
      </w:r>
      <w:r>
        <w:t xml:space="preserve">Gene Ontology term per module (one term/module). (C) Count of druggable hubs per module. Node</w:t>
      </w:r>
      <w:r>
        <w:t xml:space="preserve"> </w:t>
      </w:r>
      <w:r>
        <w:t xml:space="preserve">centrality in this network is an input to the composite score (Fig. 5).</w:t>
      </w:r>
    </w:p>
    <w:p>
      <w:pPr>
        <w:pStyle w:val="FirstParagraph"/>
      </w:pPr>
      <w:r>
        <w:drawing>
          <wp:inline>
            <wp:extent cx="5334000" cy="2587953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../../results/figures/pub/main/Fig5_multipanel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7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5. Two-factor prioritization ranks candidates and decomposes the score.</w:t>
      </w:r>
    </w:p>
    <w:p>
      <w:pPr>
        <w:pStyle w:val="Compact"/>
        <w:numPr>
          <w:ilvl w:val="0"/>
          <w:numId w:val="1003"/>
        </w:numPr>
      </w:pPr>
      <w:r>
        <w:t xml:space="preserve">Prioritized shortlist faceted by tier, with each candidate’s composite score</w:t>
      </w:r>
      <w:r>
        <w:t xml:space="preserve"> </w:t>
      </w:r>
      <w:r>
        <w:t xml:space="preserve">decomposed into its TargetPriority (TP) and DrugViability (DV) contributions. Composite =</w:t>
      </w:r>
      <w:r>
        <w:t xml:space="preserve"> </w:t>
      </w:r>
      <w:r>
        <w:t xml:space="preserve">0.60·TP + 0.40·DV. TargetPriority = 0.55·network centrality (degree/betweenness/eigenvector,</w:t>
      </w:r>
      <w:r>
        <w:t xml:space="preserve"> </w:t>
      </w:r>
      <w:r>
        <w:t xml:space="preserve">min–max) + 0.45·directional differential abundance (π = sign(log₂FC)·|log₂FC|·−log₁₀FDR,</w:t>
      </w:r>
      <w:r>
        <w:t xml:space="preserve"> </w:t>
      </w:r>
      <w:r>
        <w:t xml:space="preserve">direction-aware min–max, rewarding inhibition of up-regulated targets). DrugViability =</w:t>
      </w:r>
      <w:r>
        <w:t xml:space="preserve"> </w:t>
      </w:r>
      <w:r>
        <w:t xml:space="preserve">0.40·transcriptomic reversal (L2S2) + 0.40·regulatory class (A–D) + 0.20·number of sources / 4.</w:t>
      </w:r>
      <w:r>
        <w:t xml:space="preserve"> </w:t>
      </w:r>
      <w:r>
        <w:t xml:space="preserve">Each drug is anchored to its most credible central target via a curated ChEMBL/Open Targets edge</w:t>
      </w:r>
      <w:r>
        <w:t xml:space="preserve"> </w:t>
      </w:r>
      <w:r>
        <w:t xml:space="preserve">(DGIdb excluded for edge anchoring because of noise); tier = hub-central (target is a network hub)</w:t>
      </w:r>
      <w:r>
        <w:t xml:space="preserve"> </w:t>
      </w:r>
      <w:r>
        <w:t xml:space="preserve">versus peripheral-differential. (B) Bifactor space of TargetPriority × DrugViability; dashed</w:t>
      </w:r>
      <w:r>
        <w:t xml:space="preserve"> </w:t>
      </w:r>
      <w:r>
        <w:t xml:space="preserve">lines are iso-contours of constant composite score. No permutation test is reported: for an</w:t>
      </w:r>
      <w:r>
        <w:t xml:space="preserve"> </w:t>
      </w:r>
      <w:r>
        <w:t xml:space="preserve">evidence-aggregation score, validity derives from recovery of approved-drug controls, robustness,</w:t>
      </w:r>
      <w:r>
        <w:t xml:space="preserve"> </w:t>
      </w:r>
      <w:r>
        <w:t xml:space="preserve">and external corroboration rather than from a permutation p-value.</w:t>
      </w:r>
    </w:p>
    <w:p>
      <w:pPr>
        <w:pStyle w:val="FirstParagraph"/>
      </w:pPr>
      <w:r>
        <w:drawing>
          <wp:inline>
            <wp:extent cx="5334000" cy="4393409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../../results/figures/pub/main/Fig6_multipanel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3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6. Target directionality replicates across two independent cohorts.</w:t>
      </w:r>
    </w:p>
    <w:p>
      <w:pPr>
        <w:pStyle w:val="BodyText"/>
      </w:pPr>
      <w:r>
        <w:t xml:space="preserve">External corroboration in two independent HNSCC cohorts. (A) Proteome-versus-proteome</w:t>
      </w:r>
      <w:r>
        <w:t xml:space="preserve"> </w:t>
      </w:r>
      <w:r>
        <w:t xml:space="preserve">concordance: log₂FC from the DIA proteome (tumor vs adjacent-normal, n = 10 pairs) against</w:t>
      </w:r>
      <w:r>
        <w:t xml:space="preserve"> </w:t>
      </w:r>
      <w:r>
        <w:t xml:space="preserve">CPTAC-HNSCC TMT proteome (Huang et al., 2021</w:t>
      </w:r>
      <w:r>
        <w:t xml:space="preserve"> </w:t>
      </w:r>
      <w:r>
        <w:t xml:space="preserve">(</w:t>
      </w:r>
      <w:r>
        <w:t xml:space="preserve">Huang et al.</w:t>
      </w:r>
      <w:r>
        <w:t xml:space="preserve"> </w:t>
      </w:r>
      <w:r>
        <w:t xml:space="preserve">2021)</w:t>
      </w:r>
      <w:r>
        <w:t xml:space="preserve">; paired limma, 116 tumor / 66 normal, 66 pairs);</w:t>
      </w:r>
      <w:r>
        <w:t xml:space="preserve"> </w:t>
      </w:r>
      <w:r>
        <w:t xml:space="preserve">Pearson r = 0.789 over n = 636 shared genes, 86.3% directional concordance; four pillar genes</w:t>
      </w:r>
      <w:r>
        <w:t xml:space="preserve"> </w:t>
      </w:r>
      <w:r>
        <w:t xml:space="preserve">labeled. (B) Proteome-versus-transcriptome concordance: DIA versus TCGA-HNSC RNA-seq</w:t>
      </w:r>
      <w:r>
        <w:t xml:space="preserve"> </w:t>
      </w:r>
      <w:r>
        <w:t xml:space="preserve">(STAR-Counts, DESeq2; 520 tumor / 44 normal); r = 0.601 over n = 663 shared genes, 76.2%</w:t>
      </w:r>
      <w:r>
        <w:t xml:space="preserve"> </w:t>
      </w:r>
      <w:r>
        <w:t xml:space="preserve">directional concordance; four pillar genes labeled. Grayscale in A/B marks background</w:t>
      </w:r>
      <w:r>
        <w:t xml:space="preserve"> </w:t>
      </w:r>
      <w:r>
        <w:t xml:space="preserve">directional concordance/discordance. (C) The 14 shortlist anchor targets with their log₂FC in</w:t>
      </w:r>
      <w:r>
        <w:t xml:space="preserve"> </w:t>
      </w:r>
      <w:r>
        <w:t xml:space="preserve">CPTAC and TCGA (filled symbol = concordant with the DIA proteome; asterisks = FDR &lt; 0.05 / 0.01 /</w:t>
      </w:r>
      <w:r>
        <w:t xml:space="preserve"> </w:t>
      </w:r>
      <w:r>
        <w:t xml:space="preserve">0.001) next to a composite-score bar split into TargetPriority and DrugViability, ordered</w:t>
      </w:r>
      <w:r>
        <w:t xml:space="preserve"> </w:t>
      </w:r>
      <w:r>
        <w:t xml:space="preserve">by descending composite. CPTAC: 12/14 with data (11 concordant, 10 FDR &lt; 0.05); TCGA: 14/14 (11</w:t>
      </w:r>
      <w:r>
        <w:t xml:space="preserve"> </w:t>
      </w:r>
      <w:r>
        <w:t xml:space="preserve">concordant, 11 FDR &lt; 0.05). Color marks the therapeutic pillar (EGFR / Proteasome / Epigenetic /</w:t>
      </w:r>
      <w:r>
        <w:t xml:space="preserve"> </w:t>
      </w:r>
      <w:r>
        <w:t xml:space="preserve">OXPHOS). Cohorts corroborate target directionality; they do not test drug efficacy or the rank</w:t>
      </w:r>
      <w:r>
        <w:t xml:space="preserve"> </w:t>
      </w:r>
      <w:r>
        <w:t xml:space="preserve">order of candidates.</w:t>
      </w:r>
    </w:p>
    <w:p>
      <w:r>
        <w:pict>
          <v:rect style="width:0;height:1.5pt" o:hralign="center" o:hrstd="t" o:hr="t"/>
        </w:pict>
      </w:r>
    </w:p>
    <w:bookmarkEnd w:id="46"/>
    <w:bookmarkStart w:id="47" w:name="tables"/>
    <w:p>
      <w:pPr>
        <w:pStyle w:val="Heading1"/>
      </w:pPr>
      <w:r>
        <w:t xml:space="preserve">Tables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Drug</w:t>
            </w:r>
          </w:p>
        </w:tc>
        <w:tc>
          <w:tcPr/>
          <w:p>
            <w:pPr>
              <w:pStyle w:val="Compact"/>
            </w:pPr>
            <w:r>
              <w:t xml:space="preserve">Block / tier</w:t>
            </w:r>
          </w:p>
        </w:tc>
        <w:tc>
          <w:tcPr/>
          <w:p>
            <w:pPr>
              <w:pStyle w:val="Compact"/>
            </w:pPr>
            <w:r>
              <w:t xml:space="preserve">Module / subclass</w:t>
            </w:r>
          </w:p>
        </w:tc>
        <w:tc>
          <w:tcPr/>
          <w:p>
            <w:pPr>
              <w:pStyle w:val="Compact"/>
            </w:pPr>
            <w:r>
              <w:t xml:space="preserve">Anchor target</w:t>
            </w:r>
          </w:p>
        </w:tc>
        <w:tc>
          <w:tcPr/>
          <w:p>
            <w:pPr>
              <w:pStyle w:val="Compact"/>
            </w:pPr>
            <w:r>
              <w:t xml:space="preserve">Max clinical phase</w:t>
            </w:r>
          </w:p>
        </w:tc>
        <w:tc>
          <w:tcPr/>
          <w:p>
            <w:pPr>
              <w:pStyle w:val="Compact"/>
            </w:pPr>
            <w:r>
              <w:t xml:space="preserve">HNSCC-approved</w:t>
            </w:r>
          </w:p>
        </w:tc>
        <w:tc>
          <w:tcPr/>
          <w:p>
            <w:pPr>
              <w:pStyle w:val="Compact"/>
            </w:pPr>
            <w:r>
              <w:t xml:space="preserve">Composite</w:t>
            </w:r>
          </w:p>
        </w:tc>
        <w:tc>
          <w:tcPr/>
          <w:p>
            <w:pPr>
              <w:pStyle w:val="Compac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  <w:r>
              <w:t xml:space="preserve">DV</w:t>
            </w:r>
          </w:p>
        </w:tc>
        <w:tc>
          <w:tcPr/>
          <w:p>
            <w:pPr>
              <w:pStyle w:val="Compact"/>
            </w:pPr>
            <w:r>
              <w:t xml:space="preserve">Sources (/4)</w:t>
            </w:r>
          </w:p>
        </w:tc>
        <w:tc>
          <w:tcPr/>
          <w:p>
            <w:pPr>
              <w:pStyle w:val="Compact"/>
            </w:pPr>
            <w:r>
              <w:t xml:space="preserve">LOD-stable</w:t>
            </w:r>
          </w:p>
        </w:tc>
        <w:tc>
          <w:tcPr/>
          <w:p>
            <w:pPr>
              <w:pStyle w:val="Compact"/>
            </w:pPr>
            <w:r>
              <w:t xml:space="preserve">Robustness (n/6)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Cetuximab</w:t>
            </w:r>
          </w:p>
        </w:tc>
        <w:tc>
          <w:tcPr/>
          <w:p>
            <w:pPr>
              <w:pStyle w:val="Compact"/>
            </w:pPr>
            <w:r>
              <w:t xml:space="preserve">EGFR control</w:t>
            </w:r>
          </w:p>
        </w:tc>
        <w:tc>
          <w:tcPr/>
          <w:p>
            <w:pPr>
              <w:pStyle w:val="Compact"/>
            </w:pPr>
            <w:r>
              <w:t xml:space="preserve">Anti-EGFR antibody/ADC</w:t>
            </w:r>
          </w:p>
        </w:tc>
        <w:tc>
          <w:tcPr/>
          <w:p>
            <w:pPr>
              <w:pStyle w:val="Compact"/>
            </w:pPr>
            <w:r>
              <w:t xml:space="preserve">EGFR</w:t>
            </w:r>
          </w:p>
        </w:tc>
        <w:tc>
          <w:tcPr/>
          <w:p>
            <w:pPr>
              <w:pStyle w:val="Compact"/>
            </w:pPr>
            <w:r>
              <w:t xml:space="preserve">Approved (Phase IV)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0.73</w:t>
            </w:r>
          </w:p>
        </w:tc>
        <w:tc>
          <w:tcPr/>
          <w:p>
            <w:pPr>
              <w:pStyle w:val="Compact"/>
            </w:pPr>
            <w:r>
              <w:t xml:space="preserve">0.605</w:t>
            </w:r>
          </w:p>
        </w:tc>
        <w:tc>
          <w:tcPr/>
          <w:p>
            <w:pPr>
              <w:pStyle w:val="Compact"/>
            </w:pPr>
            <w:r>
              <w:t xml:space="preserve">0.917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6/6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Nimotuzumab</w:t>
            </w:r>
          </w:p>
        </w:tc>
        <w:tc>
          <w:tcPr/>
          <w:p>
            <w:pPr>
              <w:pStyle w:val="Compact"/>
            </w:pPr>
            <w:r>
              <w:t xml:space="preserve">EGFR control</w:t>
            </w:r>
          </w:p>
        </w:tc>
        <w:tc>
          <w:tcPr/>
          <w:p>
            <w:pPr>
              <w:pStyle w:val="Compact"/>
            </w:pPr>
            <w:r>
              <w:t xml:space="preserve">Anti-EGFR antibody/ADC</w:t>
            </w:r>
          </w:p>
        </w:tc>
        <w:tc>
          <w:tcPr/>
          <w:p>
            <w:pPr>
              <w:pStyle w:val="Compact"/>
            </w:pPr>
            <w:r>
              <w:t xml:space="preserve">EGFR</w:t>
            </w:r>
          </w:p>
        </w:tc>
        <w:tc>
          <w:tcPr/>
          <w:p>
            <w:pPr>
              <w:pStyle w:val="Compact"/>
            </w:pPr>
            <w:r>
              <w:t xml:space="preserve">Approved (Phase IV)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0.73</w:t>
            </w:r>
          </w:p>
        </w:tc>
        <w:tc>
          <w:tcPr/>
          <w:p>
            <w:pPr>
              <w:pStyle w:val="Compact"/>
            </w:pPr>
            <w:r>
              <w:t xml:space="preserve">0.605</w:t>
            </w:r>
          </w:p>
        </w:tc>
        <w:tc>
          <w:tcPr/>
          <w:p>
            <w:pPr>
              <w:pStyle w:val="Compact"/>
            </w:pPr>
            <w:r>
              <w:t xml:space="preserve">0.917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6/6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Panitumumab</w:t>
            </w:r>
          </w:p>
        </w:tc>
        <w:tc>
          <w:tcPr/>
          <w:p>
            <w:pPr>
              <w:pStyle w:val="Compact"/>
            </w:pPr>
            <w:r>
              <w:t xml:space="preserve">EGFR control</w:t>
            </w:r>
          </w:p>
        </w:tc>
        <w:tc>
          <w:tcPr/>
          <w:p>
            <w:pPr>
              <w:pStyle w:val="Compact"/>
            </w:pPr>
            <w:r>
              <w:t xml:space="preserve">Anti-EGFR antibody/ADC</w:t>
            </w:r>
          </w:p>
        </w:tc>
        <w:tc>
          <w:tcPr/>
          <w:p>
            <w:pPr>
              <w:pStyle w:val="Compact"/>
            </w:pPr>
            <w:r>
              <w:t xml:space="preserve">EGFR</w:t>
            </w:r>
          </w:p>
        </w:tc>
        <w:tc>
          <w:tcPr/>
          <w:p>
            <w:pPr>
              <w:pStyle w:val="Compact"/>
            </w:pPr>
            <w:r>
              <w:t xml:space="preserve">Approved (Phase IV)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0.73</w:t>
            </w:r>
          </w:p>
        </w:tc>
        <w:tc>
          <w:tcPr/>
          <w:p>
            <w:pPr>
              <w:pStyle w:val="Compact"/>
            </w:pPr>
            <w:r>
              <w:t xml:space="preserve">0.605</w:t>
            </w:r>
          </w:p>
        </w:tc>
        <w:tc>
          <w:tcPr/>
          <w:p>
            <w:pPr>
              <w:pStyle w:val="Compact"/>
            </w:pPr>
            <w:r>
              <w:t xml:space="preserve">0.917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6/6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Gefitinib</w:t>
            </w:r>
          </w:p>
        </w:tc>
        <w:tc>
          <w:tcPr/>
          <w:p>
            <w:pPr>
              <w:pStyle w:val="Compact"/>
            </w:pPr>
            <w:r>
              <w:t xml:space="preserve">EGFR control</w:t>
            </w:r>
          </w:p>
        </w:tc>
        <w:tc>
          <w:tcPr/>
          <w:p>
            <w:pPr>
              <w:pStyle w:val="Compact"/>
            </w:pPr>
            <w:r>
              <w:t xml:space="preserve">EGFR TKI (1st-2nd gen)</w:t>
            </w:r>
          </w:p>
        </w:tc>
        <w:tc>
          <w:tcPr/>
          <w:p>
            <w:pPr>
              <w:pStyle w:val="Compact"/>
            </w:pPr>
            <w:r>
              <w:t xml:space="preserve">EGFR</w:t>
            </w:r>
          </w:p>
        </w:tc>
        <w:tc>
          <w:tcPr/>
          <w:p>
            <w:pPr>
              <w:pStyle w:val="Compact"/>
            </w:pPr>
            <w:r>
              <w:t xml:space="preserve">Approved (Phase IV)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0.717</w:t>
            </w:r>
          </w:p>
        </w:tc>
        <w:tc>
          <w:tcPr/>
          <w:p>
            <w:pPr>
              <w:pStyle w:val="Compact"/>
            </w:pPr>
            <w:r>
              <w:t xml:space="preserve">0.605</w:t>
            </w:r>
          </w:p>
        </w:tc>
        <w:tc>
          <w:tcPr/>
          <w:p>
            <w:pPr>
              <w:pStyle w:val="Compact"/>
            </w:pPr>
            <w:r>
              <w:t xml:space="preserve">0.884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6/6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Lapatinib</w:t>
            </w:r>
          </w:p>
        </w:tc>
        <w:tc>
          <w:tcPr/>
          <w:p>
            <w:pPr>
              <w:pStyle w:val="Compact"/>
            </w:pPr>
            <w:r>
              <w:t xml:space="preserve">EGFR control</w:t>
            </w:r>
          </w:p>
        </w:tc>
        <w:tc>
          <w:tcPr/>
          <w:p>
            <w:pPr>
              <w:pStyle w:val="Compact"/>
            </w:pPr>
            <w:r>
              <w:t xml:space="preserve">EGFR TKI (1st-2nd gen)</w:t>
            </w:r>
          </w:p>
        </w:tc>
        <w:tc>
          <w:tcPr/>
          <w:p>
            <w:pPr>
              <w:pStyle w:val="Compact"/>
            </w:pPr>
            <w:r>
              <w:t xml:space="preserve">EGFR</w:t>
            </w:r>
          </w:p>
        </w:tc>
        <w:tc>
          <w:tcPr/>
          <w:p>
            <w:pPr>
              <w:pStyle w:val="Compact"/>
            </w:pPr>
            <w:r>
              <w:t xml:space="preserve">Approved (Phase IV)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0.698</w:t>
            </w:r>
          </w:p>
        </w:tc>
        <w:tc>
          <w:tcPr/>
          <w:p>
            <w:pPr>
              <w:pStyle w:val="Compact"/>
            </w:pPr>
            <w:r>
              <w:t xml:space="preserve">0.605</w:t>
            </w:r>
          </w:p>
        </w:tc>
        <w:tc>
          <w:tcPr/>
          <w:p>
            <w:pPr>
              <w:pStyle w:val="Compact"/>
            </w:pPr>
            <w:r>
              <w:t xml:space="preserve">0.836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6/6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Afatinib</w:t>
            </w:r>
          </w:p>
        </w:tc>
        <w:tc>
          <w:tcPr/>
          <w:p>
            <w:pPr>
              <w:pStyle w:val="Compact"/>
            </w:pPr>
            <w:r>
              <w:t xml:space="preserve">EGFR control</w:t>
            </w:r>
          </w:p>
        </w:tc>
        <w:tc>
          <w:tcPr/>
          <w:p>
            <w:pPr>
              <w:pStyle w:val="Compact"/>
            </w:pPr>
            <w:r>
              <w:t xml:space="preserve">EGFR TKI (1st-2nd gen)</w:t>
            </w:r>
          </w:p>
        </w:tc>
        <w:tc>
          <w:tcPr/>
          <w:p>
            <w:pPr>
              <w:pStyle w:val="Compact"/>
            </w:pPr>
            <w:r>
              <w:t xml:space="preserve">EGFR</w:t>
            </w:r>
          </w:p>
        </w:tc>
        <w:tc>
          <w:tcPr/>
          <w:p>
            <w:pPr>
              <w:pStyle w:val="Compact"/>
            </w:pPr>
            <w:r>
              <w:t xml:space="preserve">Approved (Phase IV)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0.695</w:t>
            </w:r>
          </w:p>
        </w:tc>
        <w:tc>
          <w:tcPr/>
          <w:p>
            <w:pPr>
              <w:pStyle w:val="Compact"/>
            </w:pPr>
            <w:r>
              <w:t xml:space="preserve">0.605</w:t>
            </w:r>
          </w:p>
        </w:tc>
        <w:tc>
          <w:tcPr/>
          <w:p>
            <w:pPr>
              <w:pStyle w:val="Compact"/>
            </w:pPr>
            <w:r>
              <w:t xml:space="preserve">0.829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6/6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Erlotinib</w:t>
            </w:r>
          </w:p>
        </w:tc>
        <w:tc>
          <w:tcPr/>
          <w:p>
            <w:pPr>
              <w:pStyle w:val="Compact"/>
            </w:pPr>
            <w:r>
              <w:t xml:space="preserve">EGFR control</w:t>
            </w:r>
          </w:p>
        </w:tc>
        <w:tc>
          <w:tcPr/>
          <w:p>
            <w:pPr>
              <w:pStyle w:val="Compact"/>
            </w:pPr>
            <w:r>
              <w:t xml:space="preserve">EGFR TKI (1st-2nd gen)</w:t>
            </w:r>
          </w:p>
        </w:tc>
        <w:tc>
          <w:tcPr/>
          <w:p>
            <w:pPr>
              <w:pStyle w:val="Compact"/>
            </w:pPr>
            <w:r>
              <w:t xml:space="preserve">EGFR</w:t>
            </w:r>
          </w:p>
        </w:tc>
        <w:tc>
          <w:tcPr/>
          <w:p>
            <w:pPr>
              <w:pStyle w:val="Compact"/>
            </w:pPr>
            <w:r>
              <w:t xml:space="preserve">Approved (Phase IV)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0.689</w:t>
            </w:r>
          </w:p>
        </w:tc>
        <w:tc>
          <w:tcPr/>
          <w:p>
            <w:pPr>
              <w:pStyle w:val="Compact"/>
            </w:pPr>
            <w:r>
              <w:t xml:space="preserve">0.605</w:t>
            </w:r>
          </w:p>
        </w:tc>
        <w:tc>
          <w:tcPr/>
          <w:p>
            <w:pPr>
              <w:pStyle w:val="Compact"/>
            </w:pPr>
            <w:r>
              <w:t xml:space="preserve">0.813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6/6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plus 60 additional anti-EGFR agents</w:t>
            </w:r>
          </w:p>
        </w:tc>
        <w:tc>
          <w:tcPr/>
          <w:p>
            <w:pPr>
              <w:pStyle w:val="Compact"/>
            </w:pPr>
            <w:r>
              <w:t xml:space="preserve">EGFR control</w:t>
            </w:r>
          </w:p>
        </w:tc>
        <w:tc>
          <w:tcPr/>
          <w:p>
            <w:pPr>
              <w:pStyle w:val="Compact"/>
            </w:pPr>
            <w:r>
              <w:t xml:space="preserve">anti-EGFR (mixed)</w:t>
            </w:r>
          </w:p>
        </w:tc>
        <w:tc>
          <w:tcPr/>
          <w:p>
            <w:pPr>
              <w:pStyle w:val="Compact"/>
            </w:pPr>
            <w:r>
              <w:t xml:space="preserve">EGFR</w:t>
            </w:r>
          </w:p>
        </w:tc>
        <w:tc>
          <w:tcPr/>
          <w:p>
            <w:pPr>
              <w:pStyle w:val="Compact"/>
            </w:pPr>
            <w:r>
              <w:t xml:space="preserve">Approved-to-Phase I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0.50-0.66</w:t>
            </w:r>
          </w:p>
        </w:tc>
        <w:tc>
          <w:tcPr/>
          <w:p>
            <w:pPr>
              <w:pStyle w:val="Compact"/>
            </w:pPr>
            <w:r>
              <w:t xml:space="preserve">0.605</w:t>
            </w:r>
          </w:p>
        </w:tc>
        <w:tc>
          <w:tcPr/>
          <w:p>
            <w:pPr>
              <w:pStyle w:val="Compact"/>
            </w:pPr>
            <w:r>
              <w:t xml:space="preserve">varies</w:t>
            </w:r>
          </w:p>
        </w:tc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Metformin</w:t>
            </w:r>
          </w:p>
        </w:tc>
        <w:tc>
          <w:tcPr/>
          <w:p>
            <w:pPr>
              <w:pStyle w:val="Compact"/>
            </w:pPr>
            <w:r>
              <w:t xml:space="preserve">Hub-central</w:t>
            </w:r>
          </w:p>
        </w:tc>
        <w:tc>
          <w:tcPr/>
          <w:p>
            <w:pPr>
              <w:pStyle w:val="Compact"/>
            </w:pPr>
            <w:r>
              <w:t xml:space="preserve">OXPHOS</w:t>
            </w:r>
          </w:p>
        </w:tc>
        <w:tc>
          <w:tcPr/>
          <w:p>
            <w:pPr>
              <w:pStyle w:val="Compact"/>
            </w:pPr>
            <w:r>
              <w:t xml:space="preserve">NDUFS2</w:t>
            </w:r>
          </w:p>
        </w:tc>
        <w:tc>
          <w:tcPr/>
          <w:p>
            <w:pPr>
              <w:pStyle w:val="Compact"/>
            </w:pPr>
            <w:r>
              <w:t xml:space="preserve">Approved (Phase IV)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0.591</w:t>
            </w:r>
          </w:p>
        </w:tc>
        <w:tc>
          <w:tcPr/>
          <w:p>
            <w:pPr>
              <w:pStyle w:val="Compact"/>
            </w:pPr>
            <w:r>
              <w:t xml:space="preserve">0.502</w:t>
            </w:r>
          </w:p>
        </w:tc>
        <w:tc>
          <w:tcPr/>
          <w:p>
            <w:pPr>
              <w:pStyle w:val="Compact"/>
            </w:pPr>
            <w:r>
              <w:t xml:space="preserve">0.725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6/6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Bortezomib D-Mannitol</w:t>
            </w:r>
          </w:p>
        </w:tc>
        <w:tc>
          <w:tcPr/>
          <w:p>
            <w:pPr>
              <w:pStyle w:val="Compact"/>
            </w:pPr>
            <w:r>
              <w:t xml:space="preserve">Hub-central</w:t>
            </w:r>
          </w:p>
        </w:tc>
        <w:tc>
          <w:tcPr/>
          <w:p>
            <w:pPr>
              <w:pStyle w:val="Compact"/>
            </w:pPr>
            <w:r>
              <w:t xml:space="preserve">Proteasome</w:t>
            </w:r>
          </w:p>
        </w:tc>
        <w:tc>
          <w:tcPr/>
          <w:p>
            <w:pPr>
              <w:pStyle w:val="Compact"/>
            </w:pPr>
            <w:r>
              <w:t xml:space="preserve">PSMA2</w:t>
            </w:r>
          </w:p>
        </w:tc>
        <w:tc>
          <w:tcPr/>
          <w:p>
            <w:pPr>
              <w:pStyle w:val="Compact"/>
            </w:pPr>
            <w:r>
              <w:t xml:space="preserve">Approved (Phase IV)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0.389</w:t>
            </w:r>
          </w:p>
        </w:tc>
        <w:tc>
          <w:tcPr/>
          <w:p>
            <w:pPr>
              <w:pStyle w:val="Compact"/>
            </w:pPr>
            <w:r>
              <w:t xml:space="preserve">0.667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0/6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Andecaliximab</w:t>
            </w:r>
          </w:p>
        </w:tc>
        <w:tc>
          <w:tcPr/>
          <w:p>
            <w:pPr>
              <w:pStyle w:val="Compact"/>
            </w:pPr>
            <w:r>
              <w:t xml:space="preserve">Hub-central</w:t>
            </w:r>
          </w:p>
        </w:tc>
        <w:tc>
          <w:tcPr/>
          <w:p>
            <w:pPr>
              <w:pStyle w:val="Compact"/>
            </w:pPr>
            <w:r>
              <w:t xml:space="preserve">Immune response</w:t>
            </w:r>
          </w:p>
        </w:tc>
        <w:tc>
          <w:tcPr/>
          <w:p>
            <w:pPr>
              <w:pStyle w:val="Compact"/>
            </w:pPr>
            <w:r>
              <w:t xml:space="preserve">MMP9</w:t>
            </w:r>
          </w:p>
        </w:tc>
        <w:tc>
          <w:tcPr/>
          <w:p>
            <w:pPr>
              <w:pStyle w:val="Compact"/>
            </w:pPr>
            <w:r>
              <w:t xml:space="preserve">Phase III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0.425</w:t>
            </w:r>
          </w:p>
        </w:tc>
        <w:tc>
          <w:tcPr/>
          <w:p>
            <w:pPr>
              <w:pStyle w:val="Compact"/>
            </w:pPr>
            <w:r>
              <w:t xml:space="preserve">0.431</w:t>
            </w:r>
          </w:p>
        </w:tc>
        <w:tc>
          <w:tcPr/>
          <w:p>
            <w:pPr>
              <w:pStyle w:val="Compact"/>
            </w:pPr>
            <w:r>
              <w:t xml:space="preserve">0.417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0/6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Mt-3724</w:t>
            </w:r>
          </w:p>
        </w:tc>
        <w:tc>
          <w:tcPr/>
          <w:p>
            <w:pPr>
              <w:pStyle w:val="Compact"/>
            </w:pPr>
            <w:r>
              <w:t xml:space="preserve">Hub-central</w:t>
            </w:r>
          </w:p>
        </w:tc>
        <w:tc>
          <w:tcPr/>
          <w:p>
            <w:pPr>
              <w:pStyle w:val="Compact"/>
            </w:pPr>
            <w:r>
              <w:t xml:space="preserve">Translation</w:t>
            </w:r>
          </w:p>
        </w:tc>
        <w:tc>
          <w:tcPr/>
          <w:p>
            <w:pPr>
              <w:pStyle w:val="Compact"/>
            </w:pPr>
            <w:r>
              <w:t xml:space="preserve">RPS11</w:t>
            </w:r>
          </w:p>
        </w:tc>
        <w:tc>
          <w:tcPr/>
          <w:p>
            <w:pPr>
              <w:pStyle w:val="Compact"/>
            </w:pPr>
            <w:r>
              <w:t xml:space="preserve">Phase II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0.421</w:t>
            </w:r>
          </w:p>
        </w:tc>
        <w:tc>
          <w:tcPr/>
          <w:p>
            <w:pPr>
              <w:pStyle w:val="Compact"/>
            </w:pPr>
            <w:r>
              <w:t xml:space="preserve">0.48</w:t>
            </w:r>
          </w:p>
        </w:tc>
        <w:tc>
          <w:tcPr/>
          <w:p>
            <w:pPr>
              <w:pStyle w:val="Compact"/>
            </w:pPr>
            <w:r>
              <w:t xml:space="preserve">0.333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0/6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Cedazuridine</w:t>
            </w:r>
          </w:p>
        </w:tc>
        <w:tc>
          <w:tcPr/>
          <w:p>
            <w:pPr>
              <w:pStyle w:val="Compact"/>
            </w:pPr>
            <w:r>
              <w:t xml:space="preserve">Peripheral-differential</w:t>
            </w:r>
          </w:p>
        </w:tc>
        <w:tc>
          <w:tcPr/>
          <w:p>
            <w:pPr>
              <w:pStyle w:val="Compact"/>
            </w:pPr>
            <w:r>
              <w:t xml:space="preserve">Amino acid metabolism</w:t>
            </w:r>
          </w:p>
        </w:tc>
        <w:tc>
          <w:tcPr/>
          <w:p>
            <w:pPr>
              <w:pStyle w:val="Compact"/>
            </w:pPr>
            <w:r>
              <w:t xml:space="preserve">CDA</w:t>
            </w:r>
          </w:p>
        </w:tc>
        <w:tc>
          <w:tcPr/>
          <w:p>
            <w:pPr>
              <w:pStyle w:val="Compact"/>
            </w:pPr>
            <w:r>
              <w:t xml:space="preserve">Approved (Phase IV)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0.333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0/6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Azacitidine</w:t>
            </w:r>
          </w:p>
        </w:tc>
        <w:tc>
          <w:tcPr/>
          <w:p>
            <w:pPr>
              <w:pStyle w:val="Compact"/>
            </w:pPr>
            <w:r>
              <w:t xml:space="preserve">Peripheral-differential</w:t>
            </w:r>
          </w:p>
        </w:tc>
        <w:tc>
          <w:tcPr/>
          <w:p>
            <w:pPr>
              <w:pStyle w:val="Compact"/>
            </w:pPr>
            <w:r>
              <w:t xml:space="preserve">Chromatin remodeling</w:t>
            </w:r>
          </w:p>
        </w:tc>
        <w:tc>
          <w:tcPr/>
          <w:p>
            <w:pPr>
              <w:pStyle w:val="Compact"/>
            </w:pPr>
            <w:r>
              <w:t xml:space="preserve">DNMT1</w:t>
            </w:r>
          </w:p>
        </w:tc>
        <w:tc>
          <w:tcPr/>
          <w:p>
            <w:pPr>
              <w:pStyle w:val="Compact"/>
            </w:pPr>
            <w:r>
              <w:t xml:space="preserve">Approved (Phase IV)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0.494</w:t>
            </w:r>
          </w:p>
        </w:tc>
        <w:tc>
          <w:tcPr/>
          <w:p>
            <w:pPr>
              <w:pStyle w:val="Compact"/>
            </w:pPr>
            <w:r>
              <w:t xml:space="preserve">0.359</w:t>
            </w:r>
          </w:p>
        </w:tc>
        <w:tc>
          <w:tcPr/>
          <w:p>
            <w:pPr>
              <w:pStyle w:val="Compact"/>
            </w:pPr>
            <w:r>
              <w:t xml:space="preserve">0.695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4/6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Pentoxifylline</w:t>
            </w:r>
          </w:p>
        </w:tc>
        <w:tc>
          <w:tcPr/>
          <w:p>
            <w:pPr>
              <w:pStyle w:val="Compact"/>
            </w:pPr>
            <w:r>
              <w:t xml:space="preserve">Peripheral-differential</w:t>
            </w:r>
          </w:p>
        </w:tc>
        <w:tc>
          <w:tcPr/>
          <w:p>
            <w:pPr>
              <w:pStyle w:val="Compact"/>
            </w:pPr>
            <w:r>
              <w:t xml:space="preserve">Amino acid metabolism</w:t>
            </w:r>
          </w:p>
        </w:tc>
        <w:tc>
          <w:tcPr/>
          <w:p>
            <w:pPr>
              <w:pStyle w:val="Compact"/>
            </w:pPr>
            <w:r>
              <w:t xml:space="preserve">PDE6D</w:t>
            </w:r>
          </w:p>
        </w:tc>
        <w:tc>
          <w:tcPr/>
          <w:p>
            <w:pPr>
              <w:pStyle w:val="Compact"/>
            </w:pPr>
            <w:r>
              <w:t xml:space="preserve">Approved (Phase IV)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0.454</w:t>
            </w:r>
          </w:p>
        </w:tc>
        <w:tc>
          <w:tcPr/>
          <w:p>
            <w:pPr>
              <w:pStyle w:val="Compact"/>
            </w:pPr>
            <w:r>
              <w:t xml:space="preserve">0.316</w:t>
            </w:r>
          </w:p>
        </w:tc>
        <w:tc>
          <w:tcPr/>
          <w:p>
            <w:pPr>
              <w:pStyle w:val="Compact"/>
            </w:pPr>
            <w:r>
              <w:t xml:space="preserve">0.661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3/6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Mitapivat</w:t>
            </w:r>
          </w:p>
        </w:tc>
        <w:tc>
          <w:tcPr/>
          <w:p>
            <w:pPr>
              <w:pStyle w:val="Compact"/>
            </w:pPr>
            <w:r>
              <w:t xml:space="preserve">Peripheral-differential</w:t>
            </w:r>
          </w:p>
        </w:tc>
        <w:tc>
          <w:tcPr/>
          <w:p>
            <w:pPr>
              <w:pStyle w:val="Compact"/>
            </w:pPr>
            <w:r>
              <w:t xml:space="preserve">Carbohydrate catabolism</w:t>
            </w:r>
          </w:p>
        </w:tc>
        <w:tc>
          <w:tcPr/>
          <w:p>
            <w:pPr>
              <w:pStyle w:val="Compact"/>
            </w:pPr>
            <w:r>
              <w:t xml:space="preserve">PKLR</w:t>
            </w:r>
          </w:p>
        </w:tc>
        <w:tc>
          <w:tcPr/>
          <w:p>
            <w:pPr>
              <w:pStyle w:val="Compact"/>
            </w:pPr>
            <w:r>
              <w:t xml:space="preserve">Approved (Phase IV)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0.445</w:t>
            </w:r>
          </w:p>
        </w:tc>
        <w:tc>
          <w:tcPr/>
          <w:p>
            <w:pPr>
              <w:pStyle w:val="Compact"/>
            </w:pPr>
            <w:r>
              <w:t xml:space="preserve">0.353</w:t>
            </w:r>
          </w:p>
        </w:tc>
        <w:tc>
          <w:tcPr/>
          <w:p>
            <w:pPr>
              <w:pStyle w:val="Compact"/>
            </w:pPr>
            <w:r>
              <w:t xml:space="preserve">0.583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0/6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Valproic Acid</w:t>
            </w:r>
          </w:p>
        </w:tc>
        <w:tc>
          <w:tcPr/>
          <w:p>
            <w:pPr>
              <w:pStyle w:val="Compact"/>
            </w:pPr>
            <w:r>
              <w:t xml:space="preserve">Peripheral-differential</w:t>
            </w:r>
          </w:p>
        </w:tc>
        <w:tc>
          <w:tcPr/>
          <w:p>
            <w:pPr>
              <w:pStyle w:val="Compact"/>
            </w:pPr>
            <w:r>
              <w:t xml:space="preserve">Carboxylic acid metabolism</w:t>
            </w:r>
          </w:p>
        </w:tc>
        <w:tc>
          <w:tcPr/>
          <w:p>
            <w:pPr>
              <w:pStyle w:val="Compact"/>
            </w:pPr>
            <w:r>
              <w:t xml:space="preserve">ALDH5A1</w:t>
            </w:r>
          </w:p>
        </w:tc>
        <w:tc>
          <w:tcPr/>
          <w:p>
            <w:pPr>
              <w:pStyle w:val="Compact"/>
            </w:pPr>
            <w:r>
              <w:t xml:space="preserve">Approved (Phase IV)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0.438</w:t>
            </w:r>
          </w:p>
        </w:tc>
        <w:tc>
          <w:tcPr/>
          <w:p>
            <w:pPr>
              <w:pStyle w:val="Compact"/>
            </w:pPr>
            <w:r>
              <w:t xml:space="preserve">0.244</w:t>
            </w:r>
          </w:p>
        </w:tc>
        <w:tc>
          <w:tcPr/>
          <w:p>
            <w:pPr>
              <w:pStyle w:val="Compact"/>
            </w:pPr>
            <w:r>
              <w:t xml:space="preserve">0.73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2/6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Mycophenolate Mofetil</w:t>
            </w:r>
          </w:p>
        </w:tc>
        <w:tc>
          <w:tcPr/>
          <w:p>
            <w:pPr>
              <w:pStyle w:val="Compact"/>
            </w:pPr>
            <w:r>
              <w:t xml:space="preserve">Peripheral-differential</w:t>
            </w:r>
          </w:p>
        </w:tc>
        <w:tc>
          <w:tcPr/>
          <w:p>
            <w:pPr>
              <w:pStyle w:val="Compact"/>
            </w:pPr>
            <w:r>
              <w:t xml:space="preserve">Amino acid metabolism</w:t>
            </w:r>
          </w:p>
        </w:tc>
        <w:tc>
          <w:tcPr/>
          <w:p>
            <w:pPr>
              <w:pStyle w:val="Compact"/>
            </w:pPr>
            <w:r>
              <w:t xml:space="preserve">IMPDH2</w:t>
            </w:r>
          </w:p>
        </w:tc>
        <w:tc>
          <w:tcPr/>
          <w:p>
            <w:pPr>
              <w:pStyle w:val="Compact"/>
            </w:pPr>
            <w:r>
              <w:t xml:space="preserve">Approved (Phase IV)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0.431</w:t>
            </w:r>
          </w:p>
        </w:tc>
        <w:tc>
          <w:tcPr/>
          <w:p>
            <w:pPr>
              <w:pStyle w:val="Compact"/>
            </w:pPr>
            <w:r>
              <w:t xml:space="preserve">0.274</w:t>
            </w:r>
          </w:p>
        </w:tc>
        <w:tc>
          <w:tcPr/>
          <w:p>
            <w:pPr>
              <w:pStyle w:val="Compact"/>
            </w:pPr>
            <w:r>
              <w:t xml:space="preserve">0.667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0/6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Acetazolamide</w:t>
            </w:r>
          </w:p>
        </w:tc>
        <w:tc>
          <w:tcPr/>
          <w:p>
            <w:pPr>
              <w:pStyle w:val="Compact"/>
            </w:pPr>
            <w:r>
              <w:t xml:space="preserve">Peripheral-differential</w:t>
            </w:r>
          </w:p>
        </w:tc>
        <w:tc>
          <w:tcPr/>
          <w:p>
            <w:pPr>
              <w:pStyle w:val="Compact"/>
            </w:pPr>
            <w:r>
              <w:t xml:space="preserve">Cell adhesion / membrane</w:t>
            </w:r>
          </w:p>
        </w:tc>
        <w:tc>
          <w:tcPr/>
          <w:p>
            <w:pPr>
              <w:pStyle w:val="Compact"/>
            </w:pPr>
            <w:r>
              <w:t xml:space="preserve">CA2</w:t>
            </w:r>
          </w:p>
        </w:tc>
        <w:tc>
          <w:tcPr/>
          <w:p>
            <w:pPr>
              <w:pStyle w:val="Compact"/>
            </w:pPr>
            <w:r>
              <w:t xml:space="preserve">Approved (Phase IV)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0.422</w:t>
            </w:r>
          </w:p>
        </w:tc>
        <w:tc>
          <w:tcPr/>
          <w:p>
            <w:pPr>
              <w:pStyle w:val="Compact"/>
            </w:pPr>
            <w:r>
              <w:t xml:space="preserve">0.249</w:t>
            </w:r>
          </w:p>
        </w:tc>
        <w:tc>
          <w:tcPr/>
          <w:p>
            <w:pPr>
              <w:pStyle w:val="Compact"/>
            </w:pPr>
            <w:r>
              <w:t xml:space="preserve">0.682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2/6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Tranylcypromine</w:t>
            </w:r>
          </w:p>
        </w:tc>
        <w:tc>
          <w:tcPr/>
          <w:p>
            <w:pPr>
              <w:pStyle w:val="Compact"/>
            </w:pPr>
            <w:r>
              <w:t xml:space="preserve">Peripheral-differential</w:t>
            </w:r>
          </w:p>
        </w:tc>
        <w:tc>
          <w:tcPr/>
          <w:p>
            <w:pPr>
              <w:pStyle w:val="Compact"/>
            </w:pPr>
            <w:r>
              <w:t xml:space="preserve">Amino acid metabolism</w:t>
            </w:r>
          </w:p>
        </w:tc>
        <w:tc>
          <w:tcPr/>
          <w:p>
            <w:pPr>
              <w:pStyle w:val="Compact"/>
            </w:pPr>
            <w:r>
              <w:t xml:space="preserve">MAOA</w:t>
            </w:r>
          </w:p>
        </w:tc>
        <w:tc>
          <w:tcPr/>
          <w:p>
            <w:pPr>
              <w:pStyle w:val="Compact"/>
            </w:pPr>
            <w:r>
              <w:t xml:space="preserve">Approved (Phase IV)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0.421</w:t>
            </w:r>
          </w:p>
        </w:tc>
        <w:tc>
          <w:tcPr/>
          <w:p>
            <w:pPr>
              <w:pStyle w:val="Compact"/>
            </w:pPr>
            <w:r>
              <w:t xml:space="preserve">0.258</w:t>
            </w:r>
          </w:p>
        </w:tc>
        <w:tc>
          <w:tcPr/>
          <w:p>
            <w:pPr>
              <w:pStyle w:val="Compact"/>
            </w:pPr>
            <w:r>
              <w:t xml:space="preserve">0.667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2/6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Doxycycline</w:t>
            </w:r>
          </w:p>
        </w:tc>
        <w:tc>
          <w:tcPr/>
          <w:p>
            <w:pPr>
              <w:pStyle w:val="Compact"/>
            </w:pPr>
            <w:r>
              <w:t xml:space="preserve">Peripheral-differential</w:t>
            </w:r>
          </w:p>
        </w:tc>
        <w:tc>
          <w:tcPr/>
          <w:p>
            <w:pPr>
              <w:pStyle w:val="Compact"/>
            </w:pPr>
            <w:r>
              <w:t xml:space="preserve">Immune response</w:t>
            </w:r>
          </w:p>
        </w:tc>
        <w:tc>
          <w:tcPr/>
          <w:p>
            <w:pPr>
              <w:pStyle w:val="Compact"/>
            </w:pPr>
            <w:r>
              <w:t xml:space="preserve">MMP8</w:t>
            </w:r>
          </w:p>
        </w:tc>
        <w:tc>
          <w:tcPr/>
          <w:p>
            <w:pPr>
              <w:pStyle w:val="Compact"/>
            </w:pPr>
            <w:r>
              <w:t xml:space="preserve">Approved (Phase IV)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0.418</w:t>
            </w:r>
          </w:p>
        </w:tc>
        <w:tc>
          <w:tcPr/>
          <w:p>
            <w:pPr>
              <w:pStyle w:val="Compact"/>
            </w:pPr>
            <w:r>
              <w:t xml:space="preserve">0.338</w:t>
            </w:r>
          </w:p>
        </w:tc>
        <w:tc>
          <w:tcPr/>
          <w:p>
            <w:pPr>
              <w:pStyle w:val="Compact"/>
            </w:pPr>
            <w:r>
              <w:t xml:space="preserve">0.537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2/6</w:t>
            </w:r>
          </w:p>
        </w:tc>
      </w:tr>
    </w:tbl>
    <w:p>
      <w:pPr>
        <w:pStyle w:val="BodyText"/>
      </w:pPr>
      <w:r>
        <w:t xml:space="preserve">Table 1. Prioritized repurposing candidates for HNSCC.</w:t>
      </w:r>
    </w:p>
    <w:p>
      <w:pPr>
        <w:pStyle w:val="BodyText"/>
      </w:pPr>
      <w:r>
        <w:t xml:space="preserve">Network-anchored prioritization of repurposing candidates, ordered by composite score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composite = 0.60·TargetPriority + 0.40·DrugViability</w:t>
      </w:r>
      <w:r>
        <w:t xml:space="preserve">). The table is organized in two blocks.</w:t>
      </w:r>
      <w:r>
        <w:t xml:space="preserve"> </w:t>
      </w:r>
      <w:r>
        <w:t xml:space="preserve">The EGFR control block (top) lists the EGFR-axis agents that the unsupervised prioritization</w:t>
      </w:r>
      <w:r>
        <w:t xml:space="preserve"> </w:t>
      </w:r>
      <w:r>
        <w:t xml:space="preserve">recovers, including drugs already approved in HNSCC (cetuximab, composite 0.73, #1); this block is</w:t>
      </w:r>
      <w:r>
        <w:t xml:space="preserve"> </w:t>
      </w:r>
      <w:r>
        <w:t xml:space="preserve">the method’s internal positive control. The prioritized candidates block lists the</w:t>
      </w:r>
      <w:r>
        <w:t xml:space="preserve"> </w:t>
      </w:r>
      <w:r>
        <w:t xml:space="preserve">leading non-EGFR candidates by tier: hub-central (anchor target is a network hub; e.g.,</w:t>
      </w:r>
      <w:r>
        <w:t xml:space="preserve"> </w:t>
      </w:r>
      <w:r>
        <w:t xml:space="preserve">metformin → NDUFS2, OXPHOS module, composite 0.591; proteasome) and</w:t>
      </w:r>
      <w:r>
        <w:t xml:space="preserve"> </w:t>
      </w:r>
      <w:r>
        <w:t xml:space="preserve">peripheral-differential (target differentially abundant but not a hub; e.g., epigenetic</w:t>
      </w:r>
      <w:r>
        <w:t xml:space="preserve"> </w:t>
      </w:r>
      <w:r>
        <w:t xml:space="preserve">DNMT1/MAOA, antimetabolite IMPDH2). Columns: drug name, block/tier, functional module, anchor</w:t>
      </w:r>
      <w:r>
        <w:t xml:space="preserve"> </w:t>
      </w:r>
      <w:r>
        <w:t xml:space="preserve">hub/target, primary target subclass (where applicable), maximum clinical phase, approved in HNSCC</w:t>
      </w:r>
      <w:r>
        <w:t xml:space="preserve"> </w:t>
      </w:r>
      <w:r>
        <w:t xml:space="preserve">(yes/no), composite score, TargetPriority (TP), DrugViability (DV), number of supporting sources</w:t>
      </w:r>
      <w:r>
        <w:t xml:space="preserve"> </w:t>
      </w:r>
      <w:r>
        <w:t xml:space="preserve">(of 4), LOD-stable (yes/no), and weight-configuration robustness (n/6 configurations retaining the</w:t>
      </w:r>
      <w:r>
        <w:t xml:space="preserve"> </w:t>
      </w:r>
      <w:r>
        <w:t xml:space="preserve">candidate). Metformin’s anchor (Complex I) is under-abundant in tumor; it is presented as a</w:t>
      </w:r>
      <w:r>
        <w:t xml:space="preserve"> </w:t>
      </w:r>
      <w:r>
        <w:t xml:space="preserve">metabolic-vulnerability / combination candidate, not as inhibition of an overexpressed target.</w:t>
      </w:r>
      <w:r>
        <w:t xml:space="preserve"> </w:t>
      </w:r>
      <w:r>
        <w:rPr>
          <w:i/>
          <w:iCs/>
        </w:rPr>
        <w:t xml:space="preserve">Assembled 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results/tables/pub/main/Tab4_EGFR_validation.tsv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Tab5_novel_candidates_by_module.tsv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Start w:id="123" w:name="references"/>
    <w:p>
      <w:pPr>
        <w:pStyle w:val="Heading1"/>
      </w:pPr>
      <w:r>
        <w:t xml:space="preserve">References</w:t>
      </w:r>
    </w:p>
    <w:bookmarkStart w:id="122" w:name="refs"/>
    <w:bookmarkStart w:id="49" w:name="ref-aebersold2016"/>
    <w:p>
      <w:pPr>
        <w:pStyle w:val="Bibliography"/>
      </w:pPr>
      <w:r>
        <w:t xml:space="preserve">Aebersold, Ruedi, and Matthias Mann. 2016.</w:t>
      </w:r>
      <w:r>
        <w:t xml:space="preserve"> </w:t>
      </w:r>
      <w:r>
        <w:t xml:space="preserve">“Mass-Spectrometric Exploration of Proteome Structure and Function.”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537 (7620): 347–55.</w:t>
      </w:r>
      <w:r>
        <w:t xml:space="preserve"> </w:t>
      </w:r>
      <w:hyperlink r:id="rId48">
        <w:r>
          <w:rPr>
            <w:rStyle w:val="Hyperlink"/>
          </w:rPr>
          <w:t xml:space="preserve">https://doi.org/10.1038/nature19949</w:t>
        </w:r>
      </w:hyperlink>
      <w:r>
        <w:t xml:space="preserve">.</w:t>
      </w:r>
    </w:p>
    <w:bookmarkEnd w:id="49"/>
    <w:bookmarkStart w:id="51" w:name="ref-ang2010"/>
    <w:p>
      <w:pPr>
        <w:pStyle w:val="Bibliography"/>
      </w:pPr>
      <w:r>
        <w:t xml:space="preserve">Ang, K Kian, Jonathan Harris, Richard Wheeler, et al.</w:t>
      </w:r>
      <w:r>
        <w:t xml:space="preserve"> 2010.</w:t>
      </w:r>
      <w:r>
        <w:t xml:space="preserve"> </w:t>
      </w:r>
      <w:r>
        <w:t xml:space="preserve">“Human Papillomavirus and Survival of Patients with Oropharyngeal Cancer.”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 </w:t>
      </w:r>
      <w:r>
        <w:t xml:space="preserve">363 (1): 24–35.</w:t>
      </w:r>
      <w:r>
        <w:t xml:space="preserve"> </w:t>
      </w:r>
      <w:hyperlink r:id="rId50">
        <w:r>
          <w:rPr>
            <w:rStyle w:val="Hyperlink"/>
          </w:rPr>
          <w:t xml:space="preserve">https://doi.org/10.1056/NEJMoa0912217</w:t>
        </w:r>
      </w:hyperlink>
      <w:r>
        <w:t xml:space="preserve">.</w:t>
      </w:r>
    </w:p>
    <w:bookmarkEnd w:id="51"/>
    <w:bookmarkStart w:id="53" w:name="ref-barabasi2011"/>
    <w:p>
      <w:pPr>
        <w:pStyle w:val="Bibliography"/>
      </w:pPr>
      <w:r>
        <w:t xml:space="preserve">Barabási, Albert-László, Natali Gulbahce, and Joseph Loscalzo. 2011.</w:t>
      </w:r>
      <w:r>
        <w:t xml:space="preserve"> </w:t>
      </w:r>
      <w:r>
        <w:t xml:space="preserve">“Network Medicine: A Network-Based Approach to Human Disease.”</w:t>
      </w:r>
      <w:r>
        <w:t xml:space="preserve"> </w:t>
      </w:r>
      <w:r>
        <w:rPr>
          <w:i/>
          <w:iCs/>
        </w:rPr>
        <w:t xml:space="preserve">Nature Reviews Genetics</w:t>
      </w:r>
      <w:r>
        <w:t xml:space="preserve"> </w:t>
      </w:r>
      <w:r>
        <w:t xml:space="preserve">12 (1): 56–68.</w:t>
      </w:r>
      <w:r>
        <w:t xml:space="preserve"> </w:t>
      </w:r>
      <w:hyperlink r:id="rId52">
        <w:r>
          <w:rPr>
            <w:rStyle w:val="Hyperlink"/>
          </w:rPr>
          <w:t xml:space="preserve">https://doi.org/10.1038/nrg2918</w:t>
        </w:r>
      </w:hyperlink>
      <w:r>
        <w:t xml:space="preserve">.</w:t>
      </w:r>
    </w:p>
    <w:bookmarkEnd w:id="53"/>
    <w:bookmarkStart w:id="55" w:name="ref-bear2025"/>
    <w:p>
      <w:pPr>
        <w:pStyle w:val="Bibliography"/>
      </w:pPr>
      <w:r>
        <w:t xml:space="preserve">Bear, Harry D, Xiaoyan Deng, Dipankar Bandyopadhyay, et al. 2025.</w:t>
      </w:r>
      <w:r>
        <w:t xml:space="preserve"> </w:t>
      </w:r>
      <w:r>
        <w:t xml:space="preserve">“T-Cell Immune Checkpoint Inhibition Plus Hypomethylation for Locally Advanced HER2-Negative Breast Cancer: A Phase 2 Neoadjuvant Window Trial of Decitabine and Pembrolizumab Followed by Standard Neoadjuvant Chemotherapy.”</w:t>
      </w:r>
      <w:r>
        <w:t xml:space="preserve"> </w:t>
      </w:r>
      <w:r>
        <w:rPr>
          <w:i/>
          <w:iCs/>
        </w:rPr>
        <w:t xml:space="preserve">Journal for ImmunoTherapy of Cancer</w:t>
      </w:r>
      <w:r>
        <w:t xml:space="preserve"> </w:t>
      </w:r>
      <w:r>
        <w:t xml:space="preserve">13 (2): e010294.</w:t>
      </w:r>
      <w:r>
        <w:t xml:space="preserve"> </w:t>
      </w:r>
      <w:hyperlink r:id="rId54">
        <w:r>
          <w:rPr>
            <w:rStyle w:val="Hyperlink"/>
          </w:rPr>
          <w:t xml:space="preserve">https://doi.org/10.1136/jitc-2024-010294</w:t>
        </w:r>
      </w:hyperlink>
      <w:r>
        <w:t xml:space="preserve">.</w:t>
      </w:r>
    </w:p>
    <w:bookmarkEnd w:id="55"/>
    <w:bookmarkStart w:id="57" w:name="ref-bhatia2023"/>
    <w:p>
      <w:pPr>
        <w:pStyle w:val="Bibliography"/>
      </w:pPr>
      <w:r>
        <w:t xml:space="preserve">Bhatia, Aarti, and Barbara Burtness. 2023.</w:t>
      </w:r>
      <w:r>
        <w:t xml:space="preserve"> </w:t>
      </w:r>
      <w:r>
        <w:t xml:space="preserve">“Treating Head and Neck Cancer in the Age of Immunotherapy: A 2023 Update.”</w:t>
      </w:r>
      <w:r>
        <w:t xml:space="preserve"> </w:t>
      </w:r>
      <w:r>
        <w:rPr>
          <w:i/>
          <w:iCs/>
        </w:rPr>
        <w:t xml:space="preserve">Drugs</w:t>
      </w:r>
      <w:r>
        <w:t xml:space="preserve"> </w:t>
      </w:r>
      <w:r>
        <w:t xml:space="preserve">83 (3): 217–48.</w:t>
      </w:r>
      <w:r>
        <w:t xml:space="preserve"> </w:t>
      </w:r>
      <w:hyperlink r:id="rId56">
        <w:r>
          <w:rPr>
            <w:rStyle w:val="Hyperlink"/>
          </w:rPr>
          <w:t xml:space="preserve">https://doi.org/10.1007/s40265-023-01835-2</w:t>
        </w:r>
      </w:hyperlink>
      <w:r>
        <w:t xml:space="preserve">.</w:t>
      </w:r>
    </w:p>
    <w:bookmarkEnd w:id="57"/>
    <w:bookmarkStart w:id="59" w:name="ref-bray2024"/>
    <w:p>
      <w:pPr>
        <w:pStyle w:val="Bibliography"/>
      </w:pPr>
      <w:r>
        <w:t xml:space="preserve">Bray, Freddie, Mathieu Laversanne, Hyuna Sung, et al. 2024.</w:t>
      </w:r>
      <w:r>
        <w:t xml:space="preserve"> </w:t>
      </w:r>
      <w:r>
        <w:t xml:space="preserve">“Global Cancer Statistics 2022: GLOBOCAN Estimates of Incidence and Mortality Worldwide for 36 Cancers in 185 Countries.”</w:t>
      </w:r>
      <w:r>
        <w:t xml:space="preserve"> </w:t>
      </w:r>
      <w:r>
        <w:rPr>
          <w:i/>
          <w:iCs/>
        </w:rPr>
        <w:t xml:space="preserve">CA: A Cancer Journal for Clinicians</w:t>
      </w:r>
      <w:r>
        <w:t xml:space="preserve"> </w:t>
      </w:r>
      <w:r>
        <w:t xml:space="preserve">74 (3): 229–63.</w:t>
      </w:r>
      <w:r>
        <w:t xml:space="preserve"> </w:t>
      </w:r>
      <w:hyperlink r:id="rId58">
        <w:r>
          <w:rPr>
            <w:rStyle w:val="Hyperlink"/>
          </w:rPr>
          <w:t xml:space="preserve">https://doi.org/10.3322/caac.21834</w:t>
        </w:r>
      </w:hyperlink>
      <w:r>
        <w:t xml:space="preserve">.</w:t>
      </w:r>
    </w:p>
    <w:bookmarkEnd w:id="59"/>
    <w:bookmarkStart w:id="61" w:name="ref-burtness2019"/>
    <w:p>
      <w:pPr>
        <w:pStyle w:val="Bibliography"/>
      </w:pPr>
      <w:r>
        <w:t xml:space="preserve">Burtness, Barbara, Kevin J Harrington, Richard Greil, et al.</w:t>
      </w:r>
      <w:r>
        <w:t xml:space="preserve"> 2019.</w:t>
      </w:r>
      <w:r>
        <w:t xml:space="preserve"> </w:t>
      </w:r>
      <w:r>
        <w:t xml:space="preserve">“Pembrolizumab Alone or with Chemotherapy Versus Cetuximab with Chemotherapy for Recurrent or Metastatic Squamous Cell Carcinoma of the Head and Neck (KEYNOTE-048): A Randomised, Open-Label, Phase 3 Study.”</w:t>
      </w:r>
      <w:r>
        <w:t xml:space="preserve"> </w:t>
      </w:r>
      <w:r>
        <w:rPr>
          <w:i/>
          <w:iCs/>
        </w:rPr>
        <w:t xml:space="preserve">Lancet</w:t>
      </w:r>
      <w:r>
        <w:t xml:space="preserve"> </w:t>
      </w:r>
      <w:r>
        <w:t xml:space="preserve">394 (10212): 1915–28.</w:t>
      </w:r>
      <w:r>
        <w:t xml:space="preserve"> </w:t>
      </w:r>
      <w:hyperlink r:id="rId60">
        <w:r>
          <w:rPr>
            <w:rStyle w:val="Hyperlink"/>
          </w:rPr>
          <w:t xml:space="preserve">https://doi.org/10.1016/S0140-6736(19)32591-7</w:t>
        </w:r>
      </w:hyperlink>
      <w:r>
        <w:t xml:space="preserve">.</w:t>
      </w:r>
    </w:p>
    <w:bookmarkEnd w:id="61"/>
    <w:bookmarkStart w:id="63" w:name="ref-cannon2024"/>
    <w:p>
      <w:pPr>
        <w:pStyle w:val="Bibliography"/>
      </w:pPr>
      <w:r>
        <w:t xml:space="preserve">Cannon, Matthew, James Stevenson, Kathryn Stahl, et al. 2024.</w:t>
      </w:r>
      <w:r>
        <w:t xml:space="preserve"> </w:t>
      </w:r>
      <w:r>
        <w:t xml:space="preserve">“DGIdb 5.0: Rebuilding the Drug-Gene Interaction Database for Precision Medicine and Drug Discovery Platforms.”</w:t>
      </w:r>
      <w:r>
        <w:t xml:space="preserve"> </w:t>
      </w:r>
      <w:r>
        <w:rPr>
          <w:i/>
          <w:iCs/>
        </w:rPr>
        <w:t xml:space="preserve">Nucleic Acids Research</w:t>
      </w:r>
      <w:r>
        <w:t xml:space="preserve"> </w:t>
      </w:r>
      <w:r>
        <w:t xml:space="preserve">52 (D1): D1227–35.</w:t>
      </w:r>
      <w:r>
        <w:t xml:space="preserve"> </w:t>
      </w:r>
      <w:hyperlink r:id="rId62">
        <w:r>
          <w:rPr>
            <w:rStyle w:val="Hyperlink"/>
          </w:rPr>
          <w:t xml:space="preserve">https://doi.org/10.1093/nar/gkad1040</w:t>
        </w:r>
      </w:hyperlink>
      <w:r>
        <w:t xml:space="preserve">.</w:t>
      </w:r>
    </w:p>
    <w:bookmarkEnd w:id="63"/>
    <w:bookmarkStart w:id="65" w:name="ref-carosi2026"/>
    <w:p>
      <w:pPr>
        <w:pStyle w:val="Bibliography"/>
      </w:pPr>
      <w:r>
        <w:t xml:space="preserve">Carosi, Francesca, Daria Maria Filippini, Laura Fabbri, et al. 2026.</w:t>
      </w:r>
      <w:r>
        <w:t xml:space="preserve"> </w:t>
      </w:r>
      <w:r>
        <w:t xml:space="preserve">“Beyond EGFR Inhibition in Head and Neck Squamous Cell Carcinoma: Overcoming Resistance Mechanisms and Novel Therapeutic Frontiers.”</w:t>
      </w:r>
      <w:r>
        <w:t xml:space="preserve"> </w:t>
      </w:r>
      <w:r>
        <w:rPr>
          <w:i/>
          <w:iCs/>
        </w:rPr>
        <w:t xml:space="preserve">Critical Reviews in Oncology/Hematology</w:t>
      </w:r>
      <w:r>
        <w:t xml:space="preserve"> </w:t>
      </w:r>
      <w:r>
        <w:t xml:space="preserve">221: 105207.</w:t>
      </w:r>
      <w:r>
        <w:t xml:space="preserve"> </w:t>
      </w:r>
      <w:hyperlink r:id="rId64">
        <w:r>
          <w:rPr>
            <w:rStyle w:val="Hyperlink"/>
          </w:rPr>
          <w:t xml:space="preserve">https://doi.org/10.1016/j.critrevonc.2026.105207</w:t>
        </w:r>
      </w:hyperlink>
      <w:r>
        <w:t xml:space="preserve">.</w:t>
      </w:r>
    </w:p>
    <w:bookmarkEnd w:id="65"/>
    <w:bookmarkStart w:id="67" w:name="ref-cheng2019"/>
    <w:p>
      <w:pPr>
        <w:pStyle w:val="Bibliography"/>
      </w:pPr>
      <w:r>
        <w:t xml:space="preserve">Cheng, Feixiong, Weiqiang Lu, Chuang Liu, et al. 2019.</w:t>
      </w:r>
      <w:r>
        <w:t xml:space="preserve"> </w:t>
      </w:r>
      <w:r>
        <w:t xml:space="preserve">“A Genome-Wide Positioning Systems Network Algorithm for in Silico Drug Repurposing.”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 </w:t>
      </w:r>
      <w:r>
        <w:t xml:space="preserve">10 (1): 3476.</w:t>
      </w:r>
      <w:r>
        <w:t xml:space="preserve"> </w:t>
      </w:r>
      <w:hyperlink r:id="rId66">
        <w:r>
          <w:rPr>
            <w:rStyle w:val="Hyperlink"/>
          </w:rPr>
          <w:t xml:space="preserve">https://doi.org/10.1038/s41467-019-10744-6</w:t>
        </w:r>
      </w:hyperlink>
      <w:r>
        <w:t xml:space="preserve">.</w:t>
      </w:r>
    </w:p>
    <w:bookmarkEnd w:id="67"/>
    <w:bookmarkStart w:id="69" w:name="ref-crist2022"/>
    <w:p>
      <w:pPr>
        <w:pStyle w:val="Bibliography"/>
      </w:pPr>
      <w:r>
        <w:t xml:space="preserve">Crist, McKenzie, Benyamin Yaniv, Sarah Palackdharry, et al. 2022.</w:t>
      </w:r>
      <w:r>
        <w:t xml:space="preserve"> </w:t>
      </w:r>
      <w:r>
        <w:t xml:space="preserve">“Metformin Increases Natural Killer Cell Functions in Head and Neck Squamous Cell Carcinoma Through CXCL1 Inhibition.”</w:t>
      </w:r>
      <w:r>
        <w:t xml:space="preserve"> </w:t>
      </w:r>
      <w:r>
        <w:rPr>
          <w:i/>
          <w:iCs/>
        </w:rPr>
        <w:t xml:space="preserve">Journal for ImmunoTherapy of Cancer</w:t>
      </w:r>
      <w:r>
        <w:t xml:space="preserve"> </w:t>
      </w:r>
      <w:r>
        <w:t xml:space="preserve">10 (11): e005632.</w:t>
      </w:r>
      <w:r>
        <w:t xml:space="preserve"> </w:t>
      </w:r>
      <w:hyperlink r:id="rId68">
        <w:r>
          <w:rPr>
            <w:rStyle w:val="Hyperlink"/>
          </w:rPr>
          <w:t xml:space="preserve">https://doi.org/10.1136/jitc-2022-005632</w:t>
        </w:r>
      </w:hyperlink>
      <w:r>
        <w:t xml:space="preserve">.</w:t>
      </w:r>
    </w:p>
    <w:bookmarkEnd w:id="69"/>
    <w:bookmarkStart w:id="71" w:name="ref-curry2018"/>
    <w:p>
      <w:pPr>
        <w:pStyle w:val="Bibliography"/>
      </w:pPr>
      <w:r>
        <w:t xml:space="preserve">Curry, Joseph M, Jennifer Johnson, Mehri Mollaee, et al. 2018.</w:t>
      </w:r>
      <w:r>
        <w:t xml:space="preserve"> </w:t>
      </w:r>
      <w:r>
        <w:t xml:space="preserve">“Metformin Clinical Trial in HPV+ and HPV- Head and Neck Squamous Cell Carcinoma: Impact on Cancer Cell Apoptosis and Immune Infiltrate.”</w:t>
      </w:r>
      <w:r>
        <w:t xml:space="preserve"> </w:t>
      </w:r>
      <w:r>
        <w:rPr>
          <w:i/>
          <w:iCs/>
        </w:rPr>
        <w:t xml:space="preserve">Frontiers in Oncology</w:t>
      </w:r>
      <w:r>
        <w:t xml:space="preserve"> </w:t>
      </w:r>
      <w:r>
        <w:t xml:space="preserve">8: 436.</w:t>
      </w:r>
      <w:r>
        <w:t xml:space="preserve"> </w:t>
      </w:r>
      <w:hyperlink r:id="rId70">
        <w:r>
          <w:rPr>
            <w:rStyle w:val="Hyperlink"/>
          </w:rPr>
          <w:t xml:space="preserve">https://doi.org/10.3389/fonc.2018.00436</w:t>
        </w:r>
      </w:hyperlink>
      <w:r>
        <w:t xml:space="preserve">.</w:t>
      </w:r>
    </w:p>
    <w:bookmarkEnd w:id="71"/>
    <w:bookmarkStart w:id="73" w:name="ref-flanary2023"/>
    <w:p>
      <w:pPr>
        <w:pStyle w:val="Bibliography"/>
      </w:pPr>
      <w:r>
        <w:t xml:space="preserve">Flanary, Victoria L, Jennifer L Fisher, Elizabeth J Wilk, Timothy C Howton, and Brittany N Lasseigne. 2023.</w:t>
      </w:r>
      <w:r>
        <w:t xml:space="preserve"> </w:t>
      </w:r>
      <w:r>
        <w:t xml:space="preserve">“Computational Advancements in Cancer Combination Therapy Prediction.”</w:t>
      </w:r>
      <w:r>
        <w:t xml:space="preserve"> </w:t>
      </w:r>
      <w:r>
        <w:rPr>
          <w:i/>
          <w:iCs/>
        </w:rPr>
        <w:t xml:space="preserve">JCO Precision Oncology</w:t>
      </w:r>
      <w:r>
        <w:t xml:space="preserve"> </w:t>
      </w:r>
      <w:r>
        <w:t xml:space="preserve">7: e2300261.</w:t>
      </w:r>
      <w:r>
        <w:t xml:space="preserve"> </w:t>
      </w:r>
      <w:hyperlink r:id="rId72">
        <w:r>
          <w:rPr>
            <w:rStyle w:val="Hyperlink"/>
          </w:rPr>
          <w:t xml:space="preserve">https://doi.org/10.1200/PO.23.00261</w:t>
        </w:r>
      </w:hyperlink>
      <w:r>
        <w:t xml:space="preserve">.</w:t>
      </w:r>
    </w:p>
    <w:bookmarkEnd w:id="73"/>
    <w:bookmarkStart w:id="75" w:name="ref-gu2022"/>
    <w:p>
      <w:pPr>
        <w:pStyle w:val="Bibliography"/>
      </w:pPr>
      <w:r>
        <w:t xml:space="preserve">Gu, Ziyue, Yanli Yao, Guizhu Yang, et al. 2022.</w:t>
      </w:r>
      <w:r>
        <w:t xml:space="preserve"> </w:t>
      </w:r>
      <w:r>
        <w:t xml:space="preserve">“Pharmacogenomic Landscape of Head and Neck Squamous Cell Carcinoma Informs Precision Oncology Therapy.”</w:t>
      </w:r>
      <w:r>
        <w:t xml:space="preserve"> </w:t>
      </w:r>
      <w:r>
        <w:rPr>
          <w:i/>
          <w:iCs/>
        </w:rPr>
        <w:t xml:space="preserve">Science Translational Medicine</w:t>
      </w:r>
      <w:r>
        <w:t xml:space="preserve"> </w:t>
      </w:r>
      <w:r>
        <w:t xml:space="preserve">14 (661): eabo5987.</w:t>
      </w:r>
      <w:r>
        <w:t xml:space="preserve"> </w:t>
      </w:r>
      <w:hyperlink r:id="rId74">
        <w:r>
          <w:rPr>
            <w:rStyle w:val="Hyperlink"/>
          </w:rPr>
          <w:t xml:space="preserve">https://doi.org/10.1126/scitranslmed.abo5987</w:t>
        </w:r>
      </w:hyperlink>
      <w:r>
        <w:t xml:space="preserve">.</w:t>
      </w:r>
    </w:p>
    <w:bookmarkEnd w:id="75"/>
    <w:bookmarkStart w:id="77" w:name="ref-huang2021"/>
    <w:p>
      <w:pPr>
        <w:pStyle w:val="Bibliography"/>
      </w:pPr>
      <w:r>
        <w:t xml:space="preserve">Huang, Chen, Lijun Chen, Sara R Savage, et al.</w:t>
      </w:r>
      <w:r>
        <w:t xml:space="preserve"> 2021.</w:t>
      </w:r>
      <w:r>
        <w:t xml:space="preserve"> </w:t>
      </w:r>
      <w:r>
        <w:t xml:space="preserve">“Proteogenomic Insights into the Biology and Treatment of HPV-Negative Head and Neck Squamous Cell Carcinoma.”</w:t>
      </w:r>
      <w:r>
        <w:t xml:space="preserve"> </w:t>
      </w:r>
      <w:r>
        <w:rPr>
          <w:i/>
          <w:iCs/>
        </w:rPr>
        <w:t xml:space="preserve">Cancer Cell</w:t>
      </w:r>
      <w:r>
        <w:t xml:space="preserve"> </w:t>
      </w:r>
      <w:r>
        <w:t xml:space="preserve">39 (3): 361–79.</w:t>
      </w:r>
      <w:r>
        <w:t xml:space="preserve"> </w:t>
      </w:r>
      <w:hyperlink r:id="rId76">
        <w:r>
          <w:rPr>
            <w:rStyle w:val="Hyperlink"/>
          </w:rPr>
          <w:t xml:space="preserve">https://doi.org/10.1016/j.ccell.2020.12.007</w:t>
        </w:r>
      </w:hyperlink>
      <w:r>
        <w:t xml:space="preserve">.</w:t>
      </w:r>
    </w:p>
    <w:bookmarkEnd w:id="77"/>
    <w:bookmarkStart w:id="79" w:name="ref-johnson2020"/>
    <w:p>
      <w:pPr>
        <w:pStyle w:val="Bibliography"/>
      </w:pPr>
      <w:r>
        <w:t xml:space="preserve">Johnson, Daniel E, Barbara Burtness, C René Leemans, Vivian Wai Yan Lui, Julie E Bauman, and Jennifer R Grandis. 2020.</w:t>
      </w:r>
      <w:r>
        <w:t xml:space="preserve"> </w:t>
      </w:r>
      <w:r>
        <w:t xml:space="preserve">“Head and Neck Squamous Cell Carcinoma.”</w:t>
      </w:r>
      <w:r>
        <w:t xml:space="preserve"> </w:t>
      </w:r>
      <w:r>
        <w:rPr>
          <w:i/>
          <w:iCs/>
        </w:rPr>
        <w:t xml:space="preserve">Nature Reviews Disease Primers</w:t>
      </w:r>
      <w:r>
        <w:t xml:space="preserve"> </w:t>
      </w:r>
      <w:r>
        <w:t xml:space="preserve">6: 92.</w:t>
      </w:r>
      <w:r>
        <w:t xml:space="preserve"> </w:t>
      </w:r>
      <w:hyperlink r:id="rId78">
        <w:r>
          <w:rPr>
            <w:rStyle w:val="Hyperlink"/>
          </w:rPr>
          <w:t xml:space="preserve">https://doi.org/10.1038/s41572-020-00224-3</w:t>
        </w:r>
      </w:hyperlink>
      <w:r>
        <w:t xml:space="preserve">.</w:t>
      </w:r>
    </w:p>
    <w:bookmarkEnd w:id="79"/>
    <w:bookmarkStart w:id="81" w:name="ref-kemnade2023"/>
    <w:p>
      <w:pPr>
        <w:pStyle w:val="Bibliography"/>
      </w:pPr>
      <w:r>
        <w:t xml:space="preserve">Kemnade, Jan O, Marcus Florez, Anita Sabichi, et al. 2023.</w:t>
      </w:r>
      <w:r>
        <w:t xml:space="preserve"> </w:t>
      </w:r>
      <w:r>
        <w:t xml:space="preserve">“Phase i / II Trial of Metformin as a Chemo-Radiosensitizer in a Head and Neck Cancer Patient Population.”</w:t>
      </w:r>
      <w:r>
        <w:t xml:space="preserve"> </w:t>
      </w:r>
      <w:r>
        <w:rPr>
          <w:i/>
          <w:iCs/>
        </w:rPr>
        <w:t xml:space="preserve">Oral Oncology</w:t>
      </w:r>
      <w:r>
        <w:t xml:space="preserve"> </w:t>
      </w:r>
      <w:r>
        <w:t xml:space="preserve">145: 106536.</w:t>
      </w:r>
      <w:r>
        <w:t xml:space="preserve"> </w:t>
      </w:r>
      <w:hyperlink r:id="rId80">
        <w:r>
          <w:rPr>
            <w:rStyle w:val="Hyperlink"/>
          </w:rPr>
          <w:t xml:space="preserve">https://doi.org/10.1016/j.oraloncology.2023.106536</w:t>
        </w:r>
      </w:hyperlink>
      <w:r>
        <w:t xml:space="preserve">.</w:t>
      </w:r>
    </w:p>
    <w:bookmarkEnd w:id="81"/>
    <w:bookmarkStart w:id="83" w:name="ref-kumar2025"/>
    <w:p>
      <w:pPr>
        <w:pStyle w:val="Bibliography"/>
      </w:pPr>
      <w:r>
        <w:t xml:space="preserve">Kumar, Ashok, Jency Roshni, Mahema Sivakumar, et al. 2025.</w:t>
      </w:r>
      <w:r>
        <w:t xml:space="preserve"> </w:t>
      </w:r>
      <w:r>
        <w:t xml:space="preserve">“Collagen Type 1 Alpha 1 Chain as a Potential Therapeutic Target Shared Among Subtypes of Head and Neck Squamous Cell Carcinoma: Quantum Chemical Modeling of Bleomycin for Anticancer Drug Repurposing.”</w:t>
      </w:r>
      <w:r>
        <w:t xml:space="preserve"> </w:t>
      </w:r>
      <w:r>
        <w:rPr>
          <w:i/>
          <w:iCs/>
        </w:rPr>
        <w:t xml:space="preserve">OMICS: A Journal of Integrative Biology</w:t>
      </w:r>
      <w:r>
        <w:t xml:space="preserve"> </w:t>
      </w:r>
      <w:r>
        <w:t xml:space="preserve">29 (8): 404–14.</w:t>
      </w:r>
      <w:r>
        <w:t xml:space="preserve"> </w:t>
      </w:r>
      <w:hyperlink r:id="rId82">
        <w:r>
          <w:rPr>
            <w:rStyle w:val="Hyperlink"/>
          </w:rPr>
          <w:t xml:space="preserve">https://doi.org/10.1177/15578100251359275</w:t>
        </w:r>
      </w:hyperlink>
      <w:r>
        <w:t xml:space="preserve">.</w:t>
      </w:r>
    </w:p>
    <w:bookmarkEnd w:id="83"/>
    <w:bookmarkStart w:id="85" w:name="ref-lamb2006"/>
    <w:p>
      <w:pPr>
        <w:pStyle w:val="Bibliography"/>
      </w:pPr>
      <w:r>
        <w:t xml:space="preserve">Lamb, Justin, Emily D Crawford, David Peck, et al.</w:t>
      </w:r>
      <w:r>
        <w:t xml:space="preserve"> 2006.</w:t>
      </w:r>
      <w:r>
        <w:t xml:space="preserve"> </w:t>
      </w:r>
      <w:r>
        <w:t xml:space="preserve">“The Connectivity Map: Using Gene-Expression Signatures to Connect Small Molecules, Genes, and Disease.”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t xml:space="preserve">313 (5795): 1929–35.</w:t>
      </w:r>
      <w:r>
        <w:t xml:space="preserve"> </w:t>
      </w:r>
      <w:hyperlink r:id="rId84">
        <w:r>
          <w:rPr>
            <w:rStyle w:val="Hyperlink"/>
          </w:rPr>
          <w:t xml:space="preserve">https://doi.org/10.1126/science.1132939</w:t>
        </w:r>
      </w:hyperlink>
      <w:r>
        <w:t xml:space="preserve">.</w:t>
      </w:r>
    </w:p>
    <w:bookmarkEnd w:id="85"/>
    <w:bookmarkStart w:id="87" w:name="ref-li2024"/>
    <w:p>
      <w:pPr>
        <w:pStyle w:val="Bibliography"/>
      </w:pPr>
      <w:r>
        <w:t xml:space="preserve">Li, Yanguo, Chen Lin, Yidian Chu, et al. 2024.</w:t>
      </w:r>
      <w:r>
        <w:t xml:space="preserve"> </w:t>
      </w:r>
      <w:r>
        <w:t xml:space="preserve">“Characterization of Cancer Stem Cells in Laryngeal Squamous Cell Carcinoma by Single-Cell RNA Sequencing.”</w:t>
      </w:r>
      <w:r>
        <w:t xml:space="preserve"> </w:t>
      </w:r>
      <w:r>
        <w:rPr>
          <w:i/>
          <w:iCs/>
        </w:rPr>
        <w:t xml:space="preserve">Genomics, Proteomics &amp; Bioinformatics</w:t>
      </w:r>
      <w:r>
        <w:t xml:space="preserve"> </w:t>
      </w:r>
      <w:r>
        <w:t xml:space="preserve">22 (4): qzae056.</w:t>
      </w:r>
      <w:r>
        <w:t xml:space="preserve"> </w:t>
      </w:r>
      <w:hyperlink r:id="rId86">
        <w:r>
          <w:rPr>
            <w:rStyle w:val="Hyperlink"/>
          </w:rPr>
          <w:t xml:space="preserve">https://doi.org/10.1093/gpbjnl/qzae056</w:t>
        </w:r>
      </w:hyperlink>
      <w:r>
        <w:t xml:space="preserve">.</w:t>
      </w:r>
    </w:p>
    <w:bookmarkEnd w:id="87"/>
    <w:bookmarkStart w:id="89" w:name="ref-liberzon2015"/>
    <w:p>
      <w:pPr>
        <w:pStyle w:val="Bibliography"/>
      </w:pPr>
      <w:r>
        <w:t xml:space="preserve">Liberzon, Arthur, Chet Birger, Helga Thorvaldsdóttir, Mahmoud Ghandi, Jill P Mesirov, and Pablo Tamayo. 2015.</w:t>
      </w:r>
      <w:r>
        <w:t xml:space="preserve"> </w:t>
      </w:r>
      <w:r>
        <w:t xml:space="preserve">“The Molecular Signatures Database (MSigDB) Hallmark Gene Set Collection.”</w:t>
      </w:r>
      <w:r>
        <w:t xml:space="preserve"> </w:t>
      </w:r>
      <w:r>
        <w:rPr>
          <w:i/>
          <w:iCs/>
        </w:rPr>
        <w:t xml:space="preserve">Cell Systems</w:t>
      </w:r>
      <w:r>
        <w:t xml:space="preserve"> </w:t>
      </w:r>
      <w:r>
        <w:t xml:space="preserve">1 (6): 417–25.</w:t>
      </w:r>
      <w:r>
        <w:t xml:space="preserve"> </w:t>
      </w:r>
      <w:hyperlink r:id="rId88">
        <w:r>
          <w:rPr>
            <w:rStyle w:val="Hyperlink"/>
          </w:rPr>
          <w:t xml:space="preserve">https://doi.org/10.1016/j.cels.2015.12.004</w:t>
        </w:r>
      </w:hyperlink>
      <w:r>
        <w:t xml:space="preserve">.</w:t>
      </w:r>
    </w:p>
    <w:bookmarkEnd w:id="89"/>
    <w:bookmarkStart w:id="91" w:name="ref-evangelista2025"/>
    <w:p>
      <w:pPr>
        <w:pStyle w:val="Bibliography"/>
      </w:pPr>
      <w:r>
        <w:t xml:space="preserve">Marino, Giacomo B, John Erol Evangelista, Daniel J B Clarke, and Avi Ma’ayan. 2025.</w:t>
      </w:r>
      <w:r>
        <w:t xml:space="preserve"> </w:t>
      </w:r>
      <w:r>
        <w:t xml:space="preserve">“L2S2: Chemical Perturbation and CRISPR KO LINCS L1000 Signature Search Engine.”</w:t>
      </w:r>
      <w:r>
        <w:t xml:space="preserve"> </w:t>
      </w:r>
      <w:r>
        <w:rPr>
          <w:i/>
          <w:iCs/>
        </w:rPr>
        <w:t xml:space="preserve">Nucleic Acids Research</w:t>
      </w:r>
      <w:r>
        <w:t xml:space="preserve"> </w:t>
      </w:r>
      <w:r>
        <w:t xml:space="preserve">53 (W1): W338–50.</w:t>
      </w:r>
      <w:r>
        <w:t xml:space="preserve"> </w:t>
      </w:r>
      <w:hyperlink r:id="rId90">
        <w:r>
          <w:rPr>
            <w:rStyle w:val="Hyperlink"/>
          </w:rPr>
          <w:t xml:space="preserve">https://doi.org/10.1093/nar/gkaf373</w:t>
        </w:r>
      </w:hyperlink>
      <w:r>
        <w:t xml:space="preserve">.</w:t>
      </w:r>
    </w:p>
    <w:bookmarkEnd w:id="91"/>
    <w:bookmarkStart w:id="93" w:name="ref-mendez2019"/>
    <w:p>
      <w:pPr>
        <w:pStyle w:val="Bibliography"/>
      </w:pPr>
      <w:r>
        <w:t xml:space="preserve">Mendez, David, Anna Gaulton, A Patrícia Bento, et al.</w:t>
      </w:r>
      <w:r>
        <w:t xml:space="preserve"> 2019.</w:t>
      </w:r>
      <w:r>
        <w:t xml:space="preserve"> </w:t>
      </w:r>
      <w:r>
        <w:t xml:space="preserve">“ChEMBL: Towards Direct Deposition of Bioassay Data.”</w:t>
      </w:r>
      <w:r>
        <w:t xml:space="preserve"> </w:t>
      </w:r>
      <w:r>
        <w:rPr>
          <w:i/>
          <w:iCs/>
        </w:rPr>
        <w:t xml:space="preserve">Nucleic Acids Research</w:t>
      </w:r>
      <w:r>
        <w:t xml:space="preserve"> </w:t>
      </w:r>
      <w:r>
        <w:t xml:space="preserve">47 (D1): D930–40.</w:t>
      </w:r>
      <w:r>
        <w:t xml:space="preserve"> </w:t>
      </w:r>
      <w:hyperlink r:id="rId92">
        <w:r>
          <w:rPr>
            <w:rStyle w:val="Hyperlink"/>
          </w:rPr>
          <w:t xml:space="preserve">https://doi.org/10.1093/nar/gky1075</w:t>
        </w:r>
      </w:hyperlink>
      <w:r>
        <w:t xml:space="preserve">.</w:t>
      </w:r>
    </w:p>
    <w:bookmarkEnd w:id="93"/>
    <w:bookmarkStart w:id="95" w:name="ref-noronha2023"/>
    <w:p>
      <w:pPr>
        <w:pStyle w:val="Bibliography"/>
      </w:pPr>
      <w:r>
        <w:t xml:space="preserve">Noronha, Vanita, Vijay Patil, Nandini Menon, et al. 2023.</w:t>
      </w:r>
      <w:r>
        <w:t xml:space="preserve"> </w:t>
      </w:r>
      <w:r>
        <w:t xml:space="preserve">“Repurposing Pantoprazole in Combination with Systemic Therapy in Advanced Head and Neck Squamous Cell Carcinoma: A Phase i/II Randomized Study.”</w:t>
      </w:r>
      <w:r>
        <w:t xml:space="preserve"> </w:t>
      </w:r>
      <w:r>
        <w:rPr>
          <w:i/>
          <w:iCs/>
        </w:rPr>
        <w:t xml:space="preserve">Medical Oncology</w:t>
      </w:r>
      <w:r>
        <w:t xml:space="preserve"> </w:t>
      </w:r>
      <w:r>
        <w:t xml:space="preserve">41 (1): 26.</w:t>
      </w:r>
      <w:r>
        <w:t xml:space="preserve"> </w:t>
      </w:r>
      <w:hyperlink r:id="rId94">
        <w:r>
          <w:rPr>
            <w:rStyle w:val="Hyperlink"/>
          </w:rPr>
          <w:t xml:space="preserve">https://doi.org/10.1007/s12032-023-02234-z</w:t>
        </w:r>
      </w:hyperlink>
      <w:r>
        <w:t xml:space="preserve">.</w:t>
      </w:r>
    </w:p>
    <w:bookmarkEnd w:id="95"/>
    <w:bookmarkStart w:id="97" w:name="ref-oneill2022"/>
    <w:p>
      <w:pPr>
        <w:pStyle w:val="Bibliography"/>
      </w:pPr>
      <w:r>
        <w:t xml:space="preserve">O’Neill, W Quinn, Xiujie Xie, Shanying Gui, et al. 2022.</w:t>
      </w:r>
      <w:r>
        <w:t xml:space="preserve"> </w:t>
      </w:r>
      <w:r>
        <w:t xml:space="preserve">“Repositioning Fenofibrate to Reactivate P53 and Reprogram the Tumor-Immune Microenvironment in HPV+ Head and Neck Squamous Cell Carcinoma.”</w:t>
      </w:r>
      <w:r>
        <w:t xml:space="preserve"> </w:t>
      </w:r>
      <w:r>
        <w:rPr>
          <w:i/>
          <w:iCs/>
        </w:rPr>
        <w:t xml:space="preserve">Cancers</w:t>
      </w:r>
      <w:r>
        <w:t xml:space="preserve"> </w:t>
      </w:r>
      <w:r>
        <w:t xml:space="preserve">14 (2): 282.</w:t>
      </w:r>
      <w:r>
        <w:t xml:space="preserve"> </w:t>
      </w:r>
      <w:hyperlink r:id="rId96">
        <w:r>
          <w:rPr>
            <w:rStyle w:val="Hyperlink"/>
          </w:rPr>
          <w:t xml:space="preserve">https://doi.org/10.3390/cancers14020282</w:t>
        </w:r>
      </w:hyperlink>
      <w:r>
        <w:t xml:space="preserve">.</w:t>
      </w:r>
    </w:p>
    <w:bookmarkEnd w:id="97"/>
    <w:bookmarkStart w:id="99" w:name="ref-ochoa2021"/>
    <w:p>
      <w:pPr>
        <w:pStyle w:val="Bibliography"/>
      </w:pPr>
      <w:r>
        <w:t xml:space="preserve">Ochoa, David, Andrew Hercules, Miguel Carmona, et al.</w:t>
      </w:r>
      <w:r>
        <w:t xml:space="preserve"> 2021.</w:t>
      </w:r>
      <w:r>
        <w:t xml:space="preserve"> </w:t>
      </w:r>
      <w:r>
        <w:t xml:space="preserve">“Open Targets Platform: Supporting Systematic Drug-Target Identification and Prioritisation.”</w:t>
      </w:r>
      <w:r>
        <w:t xml:space="preserve"> </w:t>
      </w:r>
      <w:r>
        <w:rPr>
          <w:i/>
          <w:iCs/>
        </w:rPr>
        <w:t xml:space="preserve">Nucleic Acids Research</w:t>
      </w:r>
      <w:r>
        <w:t xml:space="preserve"> </w:t>
      </w:r>
      <w:r>
        <w:t xml:space="preserve">49 (D1): D1302–10.</w:t>
      </w:r>
      <w:r>
        <w:t xml:space="preserve"> </w:t>
      </w:r>
      <w:hyperlink r:id="rId98">
        <w:r>
          <w:rPr>
            <w:rStyle w:val="Hyperlink"/>
          </w:rPr>
          <w:t xml:space="preserve">https://doi.org/10.1093/nar/gkaa1027</w:t>
        </w:r>
      </w:hyperlink>
      <w:r>
        <w:t xml:space="preserve">.</w:t>
      </w:r>
    </w:p>
    <w:bookmarkEnd w:id="99"/>
    <w:bookmarkStart w:id="101" w:name="ref-pujaltemartin2024"/>
    <w:p>
      <w:pPr>
        <w:pStyle w:val="Bibliography"/>
      </w:pPr>
      <w:r>
        <w:t xml:space="preserve">Pujalte-Martin, Marc, Amine Belaïd, Simon Bost, et al. 2024.</w:t>
      </w:r>
      <w:r>
        <w:t xml:space="preserve"> </w:t>
      </w:r>
      <w:r>
        <w:t xml:space="preserve">“Targeting Cancer and Immune Cell Metabolism with the Complex i Inhibitors Metformin and IACS-010759.”</w:t>
      </w:r>
      <w:r>
        <w:t xml:space="preserve"> </w:t>
      </w:r>
      <w:r>
        <w:rPr>
          <w:i/>
          <w:iCs/>
        </w:rPr>
        <w:t xml:space="preserve">Molecular Oncology</w:t>
      </w:r>
      <w:r>
        <w:t xml:space="preserve"> </w:t>
      </w:r>
      <w:r>
        <w:t xml:space="preserve">18 (7): 1719–38.</w:t>
      </w:r>
      <w:r>
        <w:t xml:space="preserve"> </w:t>
      </w:r>
      <w:hyperlink r:id="rId100">
        <w:r>
          <w:rPr>
            <w:rStyle w:val="Hyperlink"/>
          </w:rPr>
          <w:t xml:space="preserve">https://doi.org/10.1002/1878-0261.13583</w:t>
        </w:r>
      </w:hyperlink>
      <w:r>
        <w:t xml:space="preserve">.</w:t>
      </w:r>
    </w:p>
    <w:bookmarkEnd w:id="101"/>
    <w:bookmarkStart w:id="103" w:name="ref-pushpakom2019"/>
    <w:p>
      <w:pPr>
        <w:pStyle w:val="Bibliography"/>
      </w:pPr>
      <w:r>
        <w:t xml:space="preserve">Pushpakom, Sudeep, Francesco Iorio, Patrick A Eyers, et al.</w:t>
      </w:r>
      <w:r>
        <w:t xml:space="preserve"> 2019.</w:t>
      </w:r>
      <w:r>
        <w:t xml:space="preserve"> </w:t>
      </w:r>
      <w:r>
        <w:t xml:space="preserve">“Drug Repurposing: Progress, Challenges and Recommendations.”</w:t>
      </w:r>
      <w:r>
        <w:t xml:space="preserve"> </w:t>
      </w:r>
      <w:r>
        <w:rPr>
          <w:i/>
          <w:iCs/>
        </w:rPr>
        <w:t xml:space="preserve">Nature Reviews Drug Discovery</w:t>
      </w:r>
      <w:r>
        <w:t xml:space="preserve"> </w:t>
      </w:r>
      <w:r>
        <w:t xml:space="preserve">18 (1): 41–58.</w:t>
      </w:r>
      <w:r>
        <w:t xml:space="preserve"> </w:t>
      </w:r>
      <w:hyperlink r:id="rId102">
        <w:r>
          <w:rPr>
            <w:rStyle w:val="Hyperlink"/>
          </w:rPr>
          <w:t xml:space="preserve">https://doi.org/10.1038/nrd.2018.168</w:t>
        </w:r>
      </w:hyperlink>
      <w:r>
        <w:t xml:space="preserve">.</w:t>
      </w:r>
    </w:p>
    <w:bookmarkEnd w:id="103"/>
    <w:bookmarkStart w:id="105" w:name="ref-ritchie2015"/>
    <w:p>
      <w:pPr>
        <w:pStyle w:val="Bibliography"/>
      </w:pPr>
      <w:r>
        <w:t xml:space="preserve">Ritchie, Matthew E, Belinda Phipson, Di Wu, et al. 2015.</w:t>
      </w:r>
      <w:r>
        <w:t xml:space="preserve"> </w:t>
      </w:r>
      <w:r>
        <w:t xml:space="preserve">“Limma Powers Differential Expression Analyses for RNA-Sequencing and Microarray Studies.”</w:t>
      </w:r>
      <w:r>
        <w:t xml:space="preserve"> </w:t>
      </w:r>
      <w:r>
        <w:rPr>
          <w:i/>
          <w:iCs/>
        </w:rPr>
        <w:t xml:space="preserve">Nucleic Acids Research</w:t>
      </w:r>
      <w:r>
        <w:t xml:space="preserve"> </w:t>
      </w:r>
      <w:r>
        <w:t xml:space="preserve">43 (7): e47.</w:t>
      </w:r>
      <w:r>
        <w:t xml:space="preserve"> </w:t>
      </w:r>
      <w:hyperlink r:id="rId104">
        <w:r>
          <w:rPr>
            <w:rStyle w:val="Hyperlink"/>
          </w:rPr>
          <w:t xml:space="preserve">https://doi.org/10.1093/nar/gkv007</w:t>
        </w:r>
      </w:hyperlink>
      <w:r>
        <w:t xml:space="preserve">.</w:t>
      </w:r>
    </w:p>
    <w:bookmarkEnd w:id="105"/>
    <w:bookmarkStart w:id="107" w:name="ref-subramanian2017"/>
    <w:p>
      <w:pPr>
        <w:pStyle w:val="Bibliography"/>
      </w:pPr>
      <w:r>
        <w:t xml:space="preserve">Subramanian, Aravind, Rajiv Narayan, Steven M Corsello, et al.</w:t>
      </w:r>
      <w:r>
        <w:t xml:space="preserve"> 2017.</w:t>
      </w:r>
      <w:r>
        <w:t xml:space="preserve"> </w:t>
      </w:r>
      <w:r>
        <w:t xml:space="preserve">“A Next Generation Connectivity Map: L1000 Platform and the First 1,000,000 Profiles.”</w:t>
      </w:r>
      <w:r>
        <w:t xml:space="preserve"> </w:t>
      </w:r>
      <w:r>
        <w:rPr>
          <w:i/>
          <w:iCs/>
        </w:rPr>
        <w:t xml:space="preserve">Cell</w:t>
      </w:r>
      <w:r>
        <w:t xml:space="preserve"> </w:t>
      </w:r>
      <w:r>
        <w:t xml:space="preserve">171 (6): 1437–52.</w:t>
      </w:r>
      <w:r>
        <w:t xml:space="preserve"> </w:t>
      </w:r>
      <w:hyperlink r:id="rId106">
        <w:r>
          <w:rPr>
            <w:rStyle w:val="Hyperlink"/>
          </w:rPr>
          <w:t xml:space="preserve">https://doi.org/10.1016/j.cell.2017.10.049</w:t>
        </w:r>
      </w:hyperlink>
      <w:r>
        <w:t xml:space="preserve">.</w:t>
      </w:r>
    </w:p>
    <w:bookmarkEnd w:id="107"/>
    <w:bookmarkStart w:id="109" w:name="ref-subramanian2005"/>
    <w:p>
      <w:pPr>
        <w:pStyle w:val="Bibliography"/>
      </w:pPr>
      <w:r>
        <w:t xml:space="preserve">Subramanian, Aravind, Pablo Tamayo, Vamsi K Mootha, et al.</w:t>
      </w:r>
      <w:r>
        <w:t xml:space="preserve"> 2005.</w:t>
      </w:r>
      <w:r>
        <w:t xml:space="preserve"> </w:t>
      </w:r>
      <w:r>
        <w:t xml:space="preserve">“Gene Set Enrichment Analysis: A Knowledge-Based Approach for Interpreting Genome-Wide Expression Profiles.”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102 (43): 15545–50.</w:t>
      </w:r>
      <w:r>
        <w:t xml:space="preserve"> </w:t>
      </w:r>
      <w:hyperlink r:id="rId108">
        <w:r>
          <w:rPr>
            <w:rStyle w:val="Hyperlink"/>
          </w:rPr>
          <w:t xml:space="preserve">https://doi.org/10.1073/pnas.0506580102</w:t>
        </w:r>
      </w:hyperlink>
      <w:r>
        <w:t xml:space="preserve">.</w:t>
      </w:r>
    </w:p>
    <w:bookmarkEnd w:id="109"/>
    <w:bookmarkStart w:id="111" w:name="ref-szklarczyk2023"/>
    <w:p>
      <w:pPr>
        <w:pStyle w:val="Bibliography"/>
      </w:pPr>
      <w:r>
        <w:t xml:space="preserve">Szklarczyk, Damian, Rebecca Kirsch, Mikaela Koutrouli, et al.</w:t>
      </w:r>
      <w:r>
        <w:t xml:space="preserve"> 2023.</w:t>
      </w:r>
      <w:r>
        <w:t xml:space="preserve"> </w:t>
      </w:r>
      <w:r>
        <w:t xml:space="preserve">“The STRING Database in 2023: Protein-Protein Association Networks and Functional Enrichment Analyses for Any of 12,535 Organisms.”</w:t>
      </w:r>
      <w:r>
        <w:t xml:space="preserve"> </w:t>
      </w:r>
      <w:r>
        <w:rPr>
          <w:i/>
          <w:iCs/>
        </w:rPr>
        <w:t xml:space="preserve">Nucleic Acids Research</w:t>
      </w:r>
      <w:r>
        <w:t xml:space="preserve"> </w:t>
      </w:r>
      <w:r>
        <w:t xml:space="preserve">51 (D1): D638–46.</w:t>
      </w:r>
      <w:r>
        <w:t xml:space="preserve"> </w:t>
      </w:r>
      <w:hyperlink r:id="rId110">
        <w:r>
          <w:rPr>
            <w:rStyle w:val="Hyperlink"/>
          </w:rPr>
          <w:t xml:space="preserve">https://doi.org/10.1093/nar/gkac1000</w:t>
        </w:r>
      </w:hyperlink>
      <w:r>
        <w:t xml:space="preserve">.</w:t>
      </w:r>
    </w:p>
    <w:bookmarkEnd w:id="111"/>
    <w:bookmarkStart w:id="113" w:name="ref-tanoli2025"/>
    <w:p>
      <w:pPr>
        <w:pStyle w:val="Bibliography"/>
      </w:pPr>
      <w:r>
        <w:t xml:space="preserve">Tanoli, Ziaurrehman, Adrià Fernández-Torras, Umut Onur Özcan, Aleksandr Kushnir, Kristen Michelle Nader, et al.</w:t>
      </w:r>
      <w:r>
        <w:t xml:space="preserve"> 2025.</w:t>
      </w:r>
      <w:r>
        <w:t xml:space="preserve"> </w:t>
      </w:r>
      <w:r>
        <w:t xml:space="preserve">“Computational Drug Repurposing: Approaches, Evaluation of in Silico Resources and Case Studies.”</w:t>
      </w:r>
      <w:r>
        <w:t xml:space="preserve"> </w:t>
      </w:r>
      <w:r>
        <w:rPr>
          <w:i/>
          <w:iCs/>
        </w:rPr>
        <w:t xml:space="preserve">Nature Reviews Drug Discovery</w:t>
      </w:r>
      <w:r>
        <w:t xml:space="preserve"> </w:t>
      </w:r>
      <w:r>
        <w:t xml:space="preserve">24 (7): 521–42.</w:t>
      </w:r>
      <w:r>
        <w:t xml:space="preserve"> </w:t>
      </w:r>
      <w:hyperlink r:id="rId112">
        <w:r>
          <w:rPr>
            <w:rStyle w:val="Hyperlink"/>
          </w:rPr>
          <w:t xml:space="preserve">https://doi.org/10.1038/s41573-025-01164-x</w:t>
        </w:r>
      </w:hyperlink>
      <w:r>
        <w:t xml:space="preserve">.</w:t>
      </w:r>
    </w:p>
    <w:bookmarkEnd w:id="113"/>
    <w:bookmarkStart w:id="115" w:name="ref-uppaluri2025"/>
    <w:p>
      <w:pPr>
        <w:pStyle w:val="Bibliography"/>
      </w:pPr>
      <w:r>
        <w:t xml:space="preserve">Uppaluri, Ravindra, Robert I Haddad, Yungan Tao, et al.</w:t>
      </w:r>
      <w:r>
        <w:t xml:space="preserve"> 2025.</w:t>
      </w:r>
      <w:r>
        <w:t xml:space="preserve"> </w:t>
      </w:r>
      <w:r>
        <w:t xml:space="preserve">“Neoadjuvant and Adjuvant Pembrolizumab in Locally Advanced Head and Neck Cancer.”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 </w:t>
      </w:r>
      <w:r>
        <w:t xml:space="preserve">393 (1): 37–50.</w:t>
      </w:r>
      <w:r>
        <w:t xml:space="preserve"> </w:t>
      </w:r>
      <w:hyperlink r:id="rId114">
        <w:r>
          <w:rPr>
            <w:rStyle w:val="Hyperlink"/>
          </w:rPr>
          <w:t xml:space="preserve">https://doi.org/10.1056/NEJMoa2415434</w:t>
        </w:r>
      </w:hyperlink>
      <w:r>
        <w:t xml:space="preserve">.</w:t>
      </w:r>
    </w:p>
    <w:bookmarkEnd w:id="115"/>
    <w:bookmarkStart w:id="117" w:name="ref-wu2025"/>
    <w:p>
      <w:pPr>
        <w:pStyle w:val="Bibliography"/>
      </w:pPr>
      <w:r>
        <w:t xml:space="preserve">Wu, Chi-Sheng, Hsin-Pai Li, Chia-Hsun Hsieh, et al. 2025.</w:t>
      </w:r>
      <w:r>
        <w:t xml:space="preserve"> </w:t>
      </w:r>
      <w:r>
        <w:t xml:space="preserve">“Integrated Multi-Omics Analyses of Oral Squamous Cell Carcinoma Reveal Precision Patient Stratification and Personalized Treatment Strategies.”</w:t>
      </w:r>
      <w:r>
        <w:t xml:space="preserve"> </w:t>
      </w:r>
      <w:r>
        <w:rPr>
          <w:i/>
          <w:iCs/>
        </w:rPr>
        <w:t xml:space="preserve">Cancer Letters</w:t>
      </w:r>
      <w:r>
        <w:t xml:space="preserve"> </w:t>
      </w:r>
      <w:r>
        <w:t xml:space="preserve">614: 217482.</w:t>
      </w:r>
      <w:r>
        <w:t xml:space="preserve"> </w:t>
      </w:r>
      <w:hyperlink r:id="rId116">
        <w:r>
          <w:rPr>
            <w:rStyle w:val="Hyperlink"/>
          </w:rPr>
          <w:t xml:space="preserve">https://doi.org/10.1016/j.canlet.2025.217482</w:t>
        </w:r>
      </w:hyperlink>
      <w:r>
        <w:t xml:space="preserve">.</w:t>
      </w:r>
    </w:p>
    <w:bookmarkEnd w:id="117"/>
    <w:bookmarkStart w:id="119" w:name="ref-wu2021"/>
    <w:p>
      <w:pPr>
        <w:pStyle w:val="Bibliography"/>
      </w:pPr>
      <w:r>
        <w:t xml:space="preserve">Wu, Tianzhi, Erqiang Hu, Shuangbin Xu, et al.</w:t>
      </w:r>
      <w:r>
        <w:t xml:space="preserve"> 2021.</w:t>
      </w:r>
      <w:r>
        <w:t xml:space="preserve"> </w:t>
      </w:r>
      <w:r>
        <w:t xml:space="preserve">“clusterProfiler 4.0: A Universal Enrichment Tool for Interpreting Omics Data.”</w:t>
      </w:r>
      <w:r>
        <w:t xml:space="preserve"> </w:t>
      </w:r>
      <w:r>
        <w:rPr>
          <w:i/>
          <w:iCs/>
        </w:rPr>
        <w:t xml:space="preserve">The Innovation</w:t>
      </w:r>
      <w:r>
        <w:t xml:space="preserve"> </w:t>
      </w:r>
      <w:r>
        <w:t xml:space="preserve">2 (3): 100141.</w:t>
      </w:r>
      <w:r>
        <w:t xml:space="preserve"> </w:t>
      </w:r>
      <w:hyperlink r:id="rId118">
        <w:r>
          <w:rPr>
            <w:rStyle w:val="Hyperlink"/>
          </w:rPr>
          <w:t xml:space="preserve">https://doi.org/10.1016/j.xinn.2021.100141</w:t>
        </w:r>
      </w:hyperlink>
      <w:r>
        <w:t xml:space="preserve">.</w:t>
      </w:r>
    </w:p>
    <w:bookmarkEnd w:id="119"/>
    <w:bookmarkStart w:id="121" w:name="ref-zang2012"/>
    <w:p>
      <w:pPr>
        <w:pStyle w:val="Bibliography"/>
      </w:pPr>
      <w:r>
        <w:t xml:space="preserve">Zang, Yan, Sufi M Thomas, Elena T Chan, et al. 2012.</w:t>
      </w:r>
      <w:r>
        <w:t xml:space="preserve"> </w:t>
      </w:r>
      <w:r>
        <w:t xml:space="preserve">“The Next Generation Proteasome Inhibitors Carfilzomib and Oprozomib Activate Prosurvival Autophagy via Induction of the Unfolded Protein Response and ATF4.”</w:t>
      </w:r>
      <w:r>
        <w:t xml:space="preserve"> </w:t>
      </w:r>
      <w:r>
        <w:rPr>
          <w:i/>
          <w:iCs/>
        </w:rPr>
        <w:t xml:space="preserve">Autophagy</w:t>
      </w:r>
      <w:r>
        <w:t xml:space="preserve"> </w:t>
      </w:r>
      <w:r>
        <w:t xml:space="preserve">8 (12): 1873–74.</w:t>
      </w:r>
      <w:r>
        <w:t xml:space="preserve"> </w:t>
      </w:r>
      <w:hyperlink r:id="rId120">
        <w:r>
          <w:rPr>
            <w:rStyle w:val="Hyperlink"/>
          </w:rPr>
          <w:t xml:space="preserve">https://doi.org/10.4161/auto.22185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831">
    <w:nsid w:val="00A99831"/>
    <w:multiLevelType w:val="multilevel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b/>
      <w:rFonts w:asciiTheme="majorHAnsi" w:cstheme="majorBidi" w:eastAsiaTheme="majorEastAsia" w:hAnsiTheme="majorHAnsi"/>
      <w:sz w:val="24"/>
      <w:szCs w:val="2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b/>
      <w:rFonts w:asciiTheme="majorHAnsi" w:cstheme="majorBidi" w:eastAsiaTheme="majorEastAsia" w:hAnsiTheme="majorHAnsi"/>
      <w:color w:val="000000"/>
      <w:sz w:val="24"/>
      <w:szCs w:val="2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b/>
      <w:rFonts w:asciiTheme="majorHAnsi" w:cstheme="majorBidi" w:eastAsiaTheme="majorEastAsia" w:hAnsiTheme="majorHAnsi"/>
      <w:color w:val="000000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b/>
      <w:rFonts w:cstheme="majorBidi" w:eastAsiaTheme="majorEastAsia"/>
      <w:color w:val="000000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b/>
      <w:rFonts w:cstheme="majorBidi" w:eastAsiaTheme="majorEastAsia"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b/>
      <w:rFonts w:cstheme="majorBidi" w:eastAsiaTheme="majorEastAsia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b/>
      <w:rFonts w:cstheme="majorBidi" w:eastAsiaTheme="majorEastAsia"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b/>
      <w:rFonts w:cstheme="majorBidi" w:eastAsiaTheme="majorEastAsia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b/>
      <w:rFonts w:cstheme="majorBidi" w:eastAsiaTheme="majorEastAsia"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b/>
      <w:rFonts w:cstheme="majorBidi" w:eastAsiaTheme="majorEastAsia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hyperlink" Id="rId100" Target="https://doi.org/10.1002/1878-0261.13583" TargetMode="External" /><Relationship Type="http://schemas.openxmlformats.org/officeDocument/2006/relationships/hyperlink" Id="rId94" Target="https://doi.org/10.1007/s12032-023-02234-z" TargetMode="External" /><Relationship Type="http://schemas.openxmlformats.org/officeDocument/2006/relationships/hyperlink" Id="rId56" Target="https://doi.org/10.1007/s40265-023-01835-2" TargetMode="External" /><Relationship Type="http://schemas.openxmlformats.org/officeDocument/2006/relationships/hyperlink" Id="rId60" Target="https://doi.org/10.1016/S0140-6736(19)32591-7" TargetMode="External" /><Relationship Type="http://schemas.openxmlformats.org/officeDocument/2006/relationships/hyperlink" Id="rId116" Target="https://doi.org/10.1016/j.canlet.2025.217482" TargetMode="External" /><Relationship Type="http://schemas.openxmlformats.org/officeDocument/2006/relationships/hyperlink" Id="rId76" Target="https://doi.org/10.1016/j.ccell.2020.12.007" TargetMode="External" /><Relationship Type="http://schemas.openxmlformats.org/officeDocument/2006/relationships/hyperlink" Id="rId106" Target="https://doi.org/10.1016/j.cell.2017.10.049" TargetMode="External" /><Relationship Type="http://schemas.openxmlformats.org/officeDocument/2006/relationships/hyperlink" Id="rId88" Target="https://doi.org/10.1016/j.cels.2015.12.004" TargetMode="External" /><Relationship Type="http://schemas.openxmlformats.org/officeDocument/2006/relationships/hyperlink" Id="rId64" Target="https://doi.org/10.1016/j.critrevonc.2026.105207" TargetMode="External" /><Relationship Type="http://schemas.openxmlformats.org/officeDocument/2006/relationships/hyperlink" Id="rId80" Target="https://doi.org/10.1016/j.oraloncology.2023.106536" TargetMode="External" /><Relationship Type="http://schemas.openxmlformats.org/officeDocument/2006/relationships/hyperlink" Id="rId118" Target="https://doi.org/10.1016/j.xinn.2021.100141" TargetMode="External" /><Relationship Type="http://schemas.openxmlformats.org/officeDocument/2006/relationships/hyperlink" Id="rId48" Target="https://doi.org/10.1038/nature19949" TargetMode="External" /><Relationship Type="http://schemas.openxmlformats.org/officeDocument/2006/relationships/hyperlink" Id="rId102" Target="https://doi.org/10.1038/nrd.2018.168" TargetMode="External" /><Relationship Type="http://schemas.openxmlformats.org/officeDocument/2006/relationships/hyperlink" Id="rId52" Target="https://doi.org/10.1038/nrg2918" TargetMode="External" /><Relationship Type="http://schemas.openxmlformats.org/officeDocument/2006/relationships/hyperlink" Id="rId66" Target="https://doi.org/10.1038/s41467-019-10744-6" TargetMode="External" /><Relationship Type="http://schemas.openxmlformats.org/officeDocument/2006/relationships/hyperlink" Id="rId78" Target="https://doi.org/10.1038/s41572-020-00224-3" TargetMode="External" /><Relationship Type="http://schemas.openxmlformats.org/officeDocument/2006/relationships/hyperlink" Id="rId112" Target="https://doi.org/10.1038/s41573-025-01164-x" TargetMode="External" /><Relationship Type="http://schemas.openxmlformats.org/officeDocument/2006/relationships/hyperlink" Id="rId50" Target="https://doi.org/10.1056/NEJMoa0912217" TargetMode="External" /><Relationship Type="http://schemas.openxmlformats.org/officeDocument/2006/relationships/hyperlink" Id="rId114" Target="https://doi.org/10.1056/NEJMoa2415434" TargetMode="External" /><Relationship Type="http://schemas.openxmlformats.org/officeDocument/2006/relationships/hyperlink" Id="rId108" Target="https://doi.org/10.1073/pnas.0506580102" TargetMode="External" /><Relationship Type="http://schemas.openxmlformats.org/officeDocument/2006/relationships/hyperlink" Id="rId86" Target="https://doi.org/10.1093/gpbjnl/qzae056" TargetMode="External" /><Relationship Type="http://schemas.openxmlformats.org/officeDocument/2006/relationships/hyperlink" Id="rId98" Target="https://doi.org/10.1093/nar/gkaa1027" TargetMode="External" /><Relationship Type="http://schemas.openxmlformats.org/officeDocument/2006/relationships/hyperlink" Id="rId110" Target="https://doi.org/10.1093/nar/gkac1000" TargetMode="External" /><Relationship Type="http://schemas.openxmlformats.org/officeDocument/2006/relationships/hyperlink" Id="rId62" Target="https://doi.org/10.1093/nar/gkad1040" TargetMode="External" /><Relationship Type="http://schemas.openxmlformats.org/officeDocument/2006/relationships/hyperlink" Id="rId90" Target="https://doi.org/10.1093/nar/gkaf373" TargetMode="External" /><Relationship Type="http://schemas.openxmlformats.org/officeDocument/2006/relationships/hyperlink" Id="rId104" Target="https://doi.org/10.1093/nar/gkv007" TargetMode="External" /><Relationship Type="http://schemas.openxmlformats.org/officeDocument/2006/relationships/hyperlink" Id="rId92" Target="https://doi.org/10.1093/nar/gky1075" TargetMode="External" /><Relationship Type="http://schemas.openxmlformats.org/officeDocument/2006/relationships/hyperlink" Id="rId84" Target="https://doi.org/10.1126/science.1132939" TargetMode="External" /><Relationship Type="http://schemas.openxmlformats.org/officeDocument/2006/relationships/hyperlink" Id="rId74" Target="https://doi.org/10.1126/scitranslmed.abo5987" TargetMode="External" /><Relationship Type="http://schemas.openxmlformats.org/officeDocument/2006/relationships/hyperlink" Id="rId68" Target="https://doi.org/10.1136/jitc-2022-005632" TargetMode="External" /><Relationship Type="http://schemas.openxmlformats.org/officeDocument/2006/relationships/hyperlink" Id="rId54" Target="https://doi.org/10.1136/jitc-2024-010294" TargetMode="External" /><Relationship Type="http://schemas.openxmlformats.org/officeDocument/2006/relationships/hyperlink" Id="rId82" Target="https://doi.org/10.1177/15578100251359275" TargetMode="External" /><Relationship Type="http://schemas.openxmlformats.org/officeDocument/2006/relationships/hyperlink" Id="rId72" Target="https://doi.org/10.1200/PO.23.00261" TargetMode="External" /><Relationship Type="http://schemas.openxmlformats.org/officeDocument/2006/relationships/hyperlink" Id="rId58" Target="https://doi.org/10.3322/caac.21834" TargetMode="External" /><Relationship Type="http://schemas.openxmlformats.org/officeDocument/2006/relationships/hyperlink" Id="rId70" Target="https://doi.org/10.3389/fonc.2018.00436" TargetMode="External" /><Relationship Type="http://schemas.openxmlformats.org/officeDocument/2006/relationships/hyperlink" Id="rId96" Target="https://doi.org/10.3390/cancers14020282" TargetMode="External" /><Relationship Type="http://schemas.openxmlformats.org/officeDocument/2006/relationships/hyperlink" Id="rId120" Target="https://doi.org/10.4161/auto.2218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0" Target="https://doi.org/10.1002/1878-0261.13583" TargetMode="External" /><Relationship Type="http://schemas.openxmlformats.org/officeDocument/2006/relationships/hyperlink" Id="rId94" Target="https://doi.org/10.1007/s12032-023-02234-z" TargetMode="External" /><Relationship Type="http://schemas.openxmlformats.org/officeDocument/2006/relationships/hyperlink" Id="rId56" Target="https://doi.org/10.1007/s40265-023-01835-2" TargetMode="External" /><Relationship Type="http://schemas.openxmlformats.org/officeDocument/2006/relationships/hyperlink" Id="rId60" Target="https://doi.org/10.1016/S0140-6736(19)32591-7" TargetMode="External" /><Relationship Type="http://schemas.openxmlformats.org/officeDocument/2006/relationships/hyperlink" Id="rId116" Target="https://doi.org/10.1016/j.canlet.2025.217482" TargetMode="External" /><Relationship Type="http://schemas.openxmlformats.org/officeDocument/2006/relationships/hyperlink" Id="rId76" Target="https://doi.org/10.1016/j.ccell.2020.12.007" TargetMode="External" /><Relationship Type="http://schemas.openxmlformats.org/officeDocument/2006/relationships/hyperlink" Id="rId106" Target="https://doi.org/10.1016/j.cell.2017.10.049" TargetMode="External" /><Relationship Type="http://schemas.openxmlformats.org/officeDocument/2006/relationships/hyperlink" Id="rId88" Target="https://doi.org/10.1016/j.cels.2015.12.004" TargetMode="External" /><Relationship Type="http://schemas.openxmlformats.org/officeDocument/2006/relationships/hyperlink" Id="rId64" Target="https://doi.org/10.1016/j.critrevonc.2026.105207" TargetMode="External" /><Relationship Type="http://schemas.openxmlformats.org/officeDocument/2006/relationships/hyperlink" Id="rId80" Target="https://doi.org/10.1016/j.oraloncology.2023.106536" TargetMode="External" /><Relationship Type="http://schemas.openxmlformats.org/officeDocument/2006/relationships/hyperlink" Id="rId118" Target="https://doi.org/10.1016/j.xinn.2021.100141" TargetMode="External" /><Relationship Type="http://schemas.openxmlformats.org/officeDocument/2006/relationships/hyperlink" Id="rId48" Target="https://doi.org/10.1038/nature19949" TargetMode="External" /><Relationship Type="http://schemas.openxmlformats.org/officeDocument/2006/relationships/hyperlink" Id="rId102" Target="https://doi.org/10.1038/nrd.2018.168" TargetMode="External" /><Relationship Type="http://schemas.openxmlformats.org/officeDocument/2006/relationships/hyperlink" Id="rId52" Target="https://doi.org/10.1038/nrg2918" TargetMode="External" /><Relationship Type="http://schemas.openxmlformats.org/officeDocument/2006/relationships/hyperlink" Id="rId66" Target="https://doi.org/10.1038/s41467-019-10744-6" TargetMode="External" /><Relationship Type="http://schemas.openxmlformats.org/officeDocument/2006/relationships/hyperlink" Id="rId78" Target="https://doi.org/10.1038/s41572-020-00224-3" TargetMode="External" /><Relationship Type="http://schemas.openxmlformats.org/officeDocument/2006/relationships/hyperlink" Id="rId112" Target="https://doi.org/10.1038/s41573-025-01164-x" TargetMode="External" /><Relationship Type="http://schemas.openxmlformats.org/officeDocument/2006/relationships/hyperlink" Id="rId50" Target="https://doi.org/10.1056/NEJMoa0912217" TargetMode="External" /><Relationship Type="http://schemas.openxmlformats.org/officeDocument/2006/relationships/hyperlink" Id="rId114" Target="https://doi.org/10.1056/NEJMoa2415434" TargetMode="External" /><Relationship Type="http://schemas.openxmlformats.org/officeDocument/2006/relationships/hyperlink" Id="rId108" Target="https://doi.org/10.1073/pnas.0506580102" TargetMode="External" /><Relationship Type="http://schemas.openxmlformats.org/officeDocument/2006/relationships/hyperlink" Id="rId86" Target="https://doi.org/10.1093/gpbjnl/qzae056" TargetMode="External" /><Relationship Type="http://schemas.openxmlformats.org/officeDocument/2006/relationships/hyperlink" Id="rId98" Target="https://doi.org/10.1093/nar/gkaa1027" TargetMode="External" /><Relationship Type="http://schemas.openxmlformats.org/officeDocument/2006/relationships/hyperlink" Id="rId110" Target="https://doi.org/10.1093/nar/gkac1000" TargetMode="External" /><Relationship Type="http://schemas.openxmlformats.org/officeDocument/2006/relationships/hyperlink" Id="rId62" Target="https://doi.org/10.1093/nar/gkad1040" TargetMode="External" /><Relationship Type="http://schemas.openxmlformats.org/officeDocument/2006/relationships/hyperlink" Id="rId90" Target="https://doi.org/10.1093/nar/gkaf373" TargetMode="External" /><Relationship Type="http://schemas.openxmlformats.org/officeDocument/2006/relationships/hyperlink" Id="rId104" Target="https://doi.org/10.1093/nar/gkv007" TargetMode="External" /><Relationship Type="http://schemas.openxmlformats.org/officeDocument/2006/relationships/hyperlink" Id="rId92" Target="https://doi.org/10.1093/nar/gky1075" TargetMode="External" /><Relationship Type="http://schemas.openxmlformats.org/officeDocument/2006/relationships/hyperlink" Id="rId84" Target="https://doi.org/10.1126/science.1132939" TargetMode="External" /><Relationship Type="http://schemas.openxmlformats.org/officeDocument/2006/relationships/hyperlink" Id="rId74" Target="https://doi.org/10.1126/scitranslmed.abo5987" TargetMode="External" /><Relationship Type="http://schemas.openxmlformats.org/officeDocument/2006/relationships/hyperlink" Id="rId68" Target="https://doi.org/10.1136/jitc-2022-005632" TargetMode="External" /><Relationship Type="http://schemas.openxmlformats.org/officeDocument/2006/relationships/hyperlink" Id="rId54" Target="https://doi.org/10.1136/jitc-2024-010294" TargetMode="External" /><Relationship Type="http://schemas.openxmlformats.org/officeDocument/2006/relationships/hyperlink" Id="rId82" Target="https://doi.org/10.1177/15578100251359275" TargetMode="External" /><Relationship Type="http://schemas.openxmlformats.org/officeDocument/2006/relationships/hyperlink" Id="rId72" Target="https://doi.org/10.1200/PO.23.00261" TargetMode="External" /><Relationship Type="http://schemas.openxmlformats.org/officeDocument/2006/relationships/hyperlink" Id="rId58" Target="https://doi.org/10.3322/caac.21834" TargetMode="External" /><Relationship Type="http://schemas.openxmlformats.org/officeDocument/2006/relationships/hyperlink" Id="rId70" Target="https://doi.org/10.3389/fonc.2018.00436" TargetMode="External" /><Relationship Type="http://schemas.openxmlformats.org/officeDocument/2006/relationships/hyperlink" Id="rId96" Target="https://doi.org/10.3390/cancers14020282" TargetMode="External" /><Relationship Type="http://schemas.openxmlformats.org/officeDocument/2006/relationships/hyperlink" Id="rId120" Target="https://doi.org/10.4161/auto.2218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2026-06-16T00:52:49Z</dcterms:created>
  <dcterms:modified xsi:type="dcterms:W3CDTF">2026-06-16T00:52:49Z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</Properties>
</file>