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Discussion, main-body figures (Fig 1-6) and the prioritized-candidate main table (Table 1). Abstract, Title and complete Methods/Results citations are pending (WRITING_PLAN.md steps 6-8).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Effective systemic options for HNSCC remain limited, and developing new agents de novo is slow and</w:t>
      </w:r>
      <w:r>
        <w:t xml:space="preserve"> </w:t>
      </w:r>
      <w:r>
        <w:t xml:space="preserve">costly; drug repurposing offers a faster, lower-risk route to deployable therapy</w:t>
      </w:r>
      <w:r>
        <w:t xml:space="preserve"> </w:t>
      </w:r>
      <w:r>
        <w:t xml:space="preserve">[@pushpakom2019; @tanoli2025]. Starting from the proteomes of paired HNSCC tumors, this study</w:t>
      </w:r>
      <w:r>
        <w:t xml:space="preserve"> </w:t>
      </w:r>
      <w:r>
        <w:t xml:space="preserve">delivers a mechanistically organized shortlist of repurposing candidates that resolves into four</w:t>
      </w:r>
      <w:r>
        <w:t xml:space="preserve"> </w:t>
      </w:r>
      <w:r>
        <w:t xml:space="preserve">interpretable therapeutic axes: EGFR (cetuximab and other anti-EGFR agents), epigenetic</w:t>
      </w:r>
      <w:r>
        <w:t xml:space="preserve"> </w:t>
      </w:r>
      <w:r>
        <w:t xml:space="preserve">(decitabine, azacitidine, tranylcypromine), proteasome (carfilzomib), and metabolic (metformin).</w:t>
      </w:r>
      <w:r>
        <w:t xml:space="preserve"> </w:t>
      </w:r>
      <w:r>
        <w:t xml:space="preserve">Two observations argue for taking the shortlist seriously. First, without disease-specific tuning,</w:t>
      </w:r>
      <w:r>
        <w:t xml:space="preserve"> </w:t>
      </w:r>
      <w:r>
        <w:t xml:space="preserve">the analysis re-discovered the EGFR axis, the only molecular target with established approved</w:t>
      </w:r>
      <w:r>
        <w:t xml:space="preserve"> </w:t>
      </w:r>
      <w:r>
        <w:t xml:space="preserve">therapy in HNSCC [@burtness2019; @carosi2026]. Second, the direction of change in the prioritized</w:t>
      </w:r>
      <w:r>
        <w:t xml:space="preserve"> </w:t>
      </w:r>
      <w:r>
        <w:t xml:space="preserve">targets was reproduced across two independent cohorts. The prioritization that produced this</w:t>
      </w:r>
      <w:r>
        <w:t xml:space="preserve"> </w:t>
      </w:r>
      <w:r>
        <w:t xml:space="preserve">shortlist weighs where a target sits in the tumor protein network together with how deployable its</w:t>
      </w:r>
      <w:r>
        <w:t xml:space="preserve"> </w:t>
      </w:r>
      <w:r>
        <w:t xml:space="preserve">drug is, rather than fold-change magnitude alone; it is the means by which the candidates are</w:t>
      </w:r>
      <w:r>
        <w:t xml:space="preserve"> </w:t>
      </w:r>
      <w:r>
        <w:t xml:space="preserve">ranked, not the claim of the work.</w:t>
      </w:r>
    </w:p>
    <w:p>
      <w:pPr>
        <w:pStyle w:val="BodyText"/>
      </w:pPr>
      <w:r>
        <w:t xml:space="preserve">The unsupervised recovery of cetuximab at the top of the ranking (composite 0.73), accompanied by</w:t>
      </w:r>
      <w:r>
        <w:t xml:space="preserve"> </w:t>
      </w:r>
      <w:r>
        <w:t xml:space="preserve">other approved EGFR-directed agents, served as an internal positive control: a method that</w:t>
      </w:r>
      <w:r>
        <w:t xml:space="preserve"> </w:t>
      </w:r>
      <w:r>
        <w:t xml:space="preserve">independently elevates the established standard target is more credible when it also nominates less</w:t>
      </w:r>
      <w:r>
        <w:t xml:space="preserve"> </w:t>
      </w:r>
      <w:r>
        <w:t xml:space="preserve">obvious ones. The recovery is consistent with independent HNSCC analyses that converge on EGFR by</w:t>
      </w:r>
      <w:r>
        <w:t xml:space="preserve"> </w:t>
      </w:r>
      <w:r>
        <w:t xml:space="preserve">different routes, including single-cell nominations of anti-EGFR agents [@li2024] and proteogenomic</w:t>
      </w:r>
      <w:r>
        <w:t xml:space="preserve"> </w:t>
      </w:r>
      <w:r>
        <w:t xml:space="preserve">stratification in which EGFR-high tumors respond to cetuximab in patient-derived xenografts</w:t>
      </w:r>
      <w:r>
        <w:t xml:space="preserve"> </w:t>
      </w:r>
      <w:r>
        <w:t xml:space="preserve">[@wu2025]. Beyond this control, the result invites viewing EGFR not as an isolated receptor but</w:t>
      </w:r>
      <w:r>
        <w:t xml:space="preserve"> </w:t>
      </w:r>
      <w:r>
        <w:t xml:space="preserve">as a central hub within a broader signaling network. EGFR is frequently overexpressed in HNSCC, yet</w:t>
      </w:r>
      <w:r>
        <w:t xml:space="preserve"> </w:t>
      </w:r>
      <w:r>
        <w:t xml:space="preserve">single-agent anti-EGFR benefit is limited, a limitation that has been attributed to intrinsic and</w:t>
      </w:r>
      <w:r>
        <w:t xml:space="preserve"> </w:t>
      </w:r>
      <w:r>
        <w:t xml:space="preserve">acquired resistance, including compensatory receptor tyrosine kinase activation, downstream pathway</w:t>
      </w:r>
      <w:r>
        <w:t xml:space="preserve"> </w:t>
      </w:r>
      <w:r>
        <w:t xml:space="preserve">alterations, and epithelial-mesenchymal transition [@carosi2026]. Viewing EGFR as a network node</w:t>
      </w:r>
      <w:r>
        <w:t xml:space="preserve"> </w:t>
      </w:r>
      <w:r>
        <w:t xml:space="preserve">rather than a solitary target is consistent with the rationale for the combination strategies (dual</w:t>
      </w:r>
      <w:r>
        <w:t xml:space="preserve"> </w:t>
      </w:r>
      <w:r>
        <w:t xml:space="preserve">EGFR blockade, pan-HER inhibitors, or EGFR inhibition plus immunomodulation) currently being</w:t>
      </w:r>
      <w:r>
        <w:t xml:space="preserve"> </w:t>
      </w:r>
      <w:r>
        <w:t xml:space="preserve">explored to overcome resistance [@carosi2026; @bhatia2023]. The same network logic that recovers</w:t>
      </w:r>
      <w:r>
        <w:t xml:space="preserve"> </w:t>
      </w:r>
      <w:r>
        <w:t xml:space="preserve">EGFR also organizes the remaining candidates into interpretable mechanistic axes.</w:t>
      </w:r>
    </w:p>
    <w:p>
      <w:pPr>
        <w:pStyle w:val="BodyText"/>
      </w:pPr>
      <w:r>
        <w:t xml:space="preserve">Two non-canonical axes are the most novel nominations. The epigenetic axis, anchored by DNMT1</w:t>
      </w:r>
      <w:r>
        <w:t xml:space="preserve"> </w:t>
      </w:r>
      <w:r>
        <w:t xml:space="preserve">(decitabine, azacitidine) and MAOA (tranylcypromine), implicates chromatin and DNA-methylation</w:t>
      </w:r>
      <w:r>
        <w:t xml:space="preserve"> </w:t>
      </w:r>
      <w:r>
        <w:t xml:space="preserve">regulators as an integral part of the HNSCC tumor state rather than only a secondary</w:t>
      </w:r>
      <w:r>
        <w:t xml:space="preserve"> </w:t>
      </w:r>
      <w:r>
        <w:t xml:space="preserve">epiphenomenon. This axis carries a plausible translational rationale: DNA methyltransferase</w:t>
      </w:r>
      <w:r>
        <w:t xml:space="preserve"> </w:t>
      </w:r>
      <w:r>
        <w:t xml:space="preserve">inhibition can increase tumor immunogenicity and remodel the immune microenvironment, which</w:t>
      </w:r>
      <w:r>
        <w:t xml:space="preserve"> </w:t>
      </w:r>
      <w:r>
        <w:t xml:space="preserve">provides a mechanistic basis for combining hypomethylating agents with immune-checkpoint inhibitors</w:t>
      </w:r>
      <w:r>
        <w:t xml:space="preserve"> </w:t>
      </w:r>
      <w:r>
        <w:t xml:space="preserve">[@bear2025]. A recent phase 2 window trial reported that decitabine followed by pembrolizumab</w:t>
      </w:r>
      <w:r>
        <w:t xml:space="preserve"> </w:t>
      </w:r>
      <w:r>
        <w:t xml:space="preserve">increased tumor-infiltrating lymphocytes and PD-L1 expression and reduced myeloid-derived</w:t>
      </w:r>
      <w:r>
        <w:t xml:space="preserve"> </w:t>
      </w:r>
      <w:r>
        <w:t xml:space="preserve">suppressor cells before standard therapy [@bear2025], illustrating the prime-then-checkpoint</w:t>
      </w:r>
      <w:r>
        <w:t xml:space="preserve"> </w:t>
      </w:r>
      <w:r>
        <w:t xml:space="preserve">strategy that our epigenetic nominations would support, an approach now being explored clinically.</w:t>
      </w:r>
      <w:r>
        <w:t xml:space="preserve"> </w:t>
      </w:r>
      <w:r>
        <w:t xml:space="preserve">The proteasome axis, anchored by the 20S subunits PSMA2 and PSMB3 (carfilzomib), points to a</w:t>
      </w:r>
      <w:r>
        <w:t xml:space="preserve"> </w:t>
      </w:r>
      <w:r>
        <w:t xml:space="preserve">possible dependence on protein homeostasis: a high biosynthetic burden and accumulation of</w:t>
      </w:r>
      <w:r>
        <w:t xml:space="preserve"> </w:t>
      </w:r>
      <w:r>
        <w:t xml:space="preserve">misfolded proteins could render HNSCC cells reliant on proteasomal clearance, a vulnerability that</w:t>
      </w:r>
      <w:r>
        <w:t xml:space="preserve"> </w:t>
      </w:r>
      <w:r>
        <w:t xml:space="preserve">next-generation proteasome inhibitors such as carfilzomib and oprozomib have been reported to</w:t>
      </w:r>
      <w:r>
        <w:t xml:space="preserve"> </w:t>
      </w:r>
      <w:r>
        <w:t xml:space="preserve">exploit in HNSCC preclinical models, in part through induction of the unfolded protein response</w:t>
      </w:r>
      <w:r>
        <w:t xml:space="preserve"> </w:t>
      </w:r>
      <w:r>
        <w:t xml:space="preserve">[@zang2012]. Proteostasis targeting is clinically established in hematologic malignancies but</w:t>
      </w:r>
      <w:r>
        <w:t xml:space="preserve"> </w:t>
      </w:r>
      <w:r>
        <w:t xml:space="preserve">comparatively under-explored in solid tumors such as HNSCC [@zang2012], which positions this axis</w:t>
      </w:r>
      <w:r>
        <w:t xml:space="preserve"> </w:t>
      </w:r>
      <w:r>
        <w:t xml:space="preserve">as a hypothesis worth dedicated preclinical testing rather than an established therapy. A feature</w:t>
      </w:r>
      <w:r>
        <w:t xml:space="preserve"> </w:t>
      </w:r>
      <w:r>
        <w:t xml:space="preserve">that distinguishes both axes from EGFR is that their anchors are differentially abundant nodes whose</w:t>
      </w:r>
      <w:r>
        <w:t xml:space="preserve"> </w:t>
      </w:r>
      <w:r>
        <w:t xml:space="preserve">proposed therapeutic logic would be reprogramming or stress-exploitation rather than the simple</w:t>
      </w:r>
      <w:r>
        <w:t xml:space="preserve"> </w:t>
      </w:r>
      <w:r>
        <w:t xml:space="preserve">inhibition of an overexpressed driver.</w:t>
      </w:r>
    </w:p>
    <w:p>
      <w:pPr>
        <w:pStyle w:val="BodyText"/>
      </w:pPr>
      <w:r>
        <w:t xml:space="preserve">The metabolic axis requires the most careful framing. Unlike EGFR, which is over-abundant and</w:t>
      </w:r>
      <w:r>
        <w:t xml:space="preserve"> </w:t>
      </w:r>
      <w:r>
        <w:t xml:space="preserve">addressed by direct inhibition, Complex I subunits were robustly under-abundant in tumors</w:t>
      </w:r>
      <w:r>
        <w:t xml:space="preserve"> </w:t>
      </w:r>
      <w:r>
        <w:t xml:space="preserve">(NDUFS2 log2FC = -3.05), a direction reproduced in both the CPTAC proteome and the TCGA</w:t>
      </w:r>
      <w:r>
        <w:t xml:space="preserve"> </w:t>
      </w:r>
      <w:r>
        <w:t xml:space="preserve">transcriptome and consistent with a glycolytic, Warburg-like shift. Metformin rose to the top of</w:t>
      </w:r>
      <w:r>
        <w:t xml:space="preserve"> </w:t>
      </w:r>
      <w:r>
        <w:t xml:space="preserve">the metabolic module (composite 0.59) through the high network centrality of its anchor, NDUFS2,</w:t>
      </w:r>
      <w:r>
        <w:t xml:space="preserve"> </w:t>
      </w:r>
      <w:r>
        <w:t xml:space="preserve">independent of fold-change direction. Its nomination therefore rests on a metabolic-vulnerability</w:t>
      </w:r>
      <w:r>
        <w:t xml:space="preserve"> </w:t>
      </w:r>
      <w:r>
        <w:t xml:space="preserve">rationale rather than on target overexpression: residual oxidative-phosphorylation dependence may</w:t>
      </w:r>
      <w:r>
        <w:t xml:space="preserve"> </w:t>
      </w:r>
      <w:r>
        <w:t xml:space="preserve">remain a targetable feature of cancer cells, and Complex I inhibition has been reported to exert</w:t>
      </w:r>
      <w:r>
        <w:t xml:space="preserve"> </w:t>
      </w:r>
      <w:r>
        <w:t xml:space="preserve">immunometabolic effects on the tumor microenvironment [@pujaltemartin2024]. In HNSCC specifically,</w:t>
      </w:r>
      <w:r>
        <w:t xml:space="preserve"> </w:t>
      </w:r>
      <w:r>
        <w:t xml:space="preserve">metformin use has been associated with improved outcomes and may act in part through immune</w:t>
      </w:r>
      <w:r>
        <w:t xml:space="preserve"> </w:t>
      </w:r>
      <w:r>
        <w:t xml:space="preserve">mechanisms, including increased CD8+ infiltration and enhanced natural-killer-cell cytotoxicity</w:t>
      </w:r>
      <w:r>
        <w:t xml:space="preserve"> </w:t>
      </w:r>
      <w:r>
        <w:t xml:space="preserve">[@curry2018; @crist2022]. Because single-agent metformin trials have been less effective than</w:t>
      </w:r>
      <w:r>
        <w:t xml:space="preserve"> </w:t>
      </w:r>
      <w:r>
        <w:t xml:space="preserve">observational data suggested [@pujaltemartin2024], and early-phase HNSCC studies indicate</w:t>
      </w:r>
      <w:r>
        <w:t xml:space="preserve"> </w:t>
      </w:r>
      <w:r>
        <w:t xml:space="preserve">tolerability in combination with chemoradiation [@kemnade2023], we position metformin as a</w:t>
      </w:r>
      <w:r>
        <w:t xml:space="preserve"> </w:t>
      </w:r>
      <w:r>
        <w:t xml:space="preserve">combination candidate (with chemoradiation or immunotherapy) rather than as a single-agent</w:t>
      </w:r>
      <w:r>
        <w:t xml:space="preserve"> </w:t>
      </w:r>
      <w:r>
        <w:t xml:space="preserve">inhibitor of an over-expressed target.</w:t>
      </w:r>
    </w:p>
    <w:p>
      <w:pPr>
        <w:pStyle w:val="BodyText"/>
      </w:pPr>
      <w:r>
        <w:t xml:space="preserve">More broadly, this study sits within, but is distinct from, prior repurposing efforts in HNSCC.</w:t>
      </w:r>
      <w:r>
        <w:t xml:space="preserve"> </w:t>
      </w:r>
      <w:r>
        <w:t xml:space="preserve">Experimental high-throughput screens nominate candidates directly from drug response but depend on</w:t>
      </w:r>
      <w:r>
        <w:t xml:space="preserve"> </w:t>
      </w:r>
      <w:r>
        <w:t xml:space="preserve">dedicated cell or patient-derived-cell resources [@gu2022], whereas existing in silico efforts have</w:t>
      </w:r>
      <w:r>
        <w:t xml:space="preserve"> </w:t>
      </w:r>
      <w:r>
        <w:t xml:space="preserve">typically operated on transcriptomic or genomic data from public repositories and converged on a</w:t>
      </w:r>
      <w:r>
        <w:t xml:space="preserve"> </w:t>
      </w:r>
      <w:r>
        <w:t xml:space="preserve">single hub target and a single drug [@kumar2025], or have applied network-medicine frameworks to</w:t>
      </w:r>
      <w:r>
        <w:t xml:space="preserve"> </w:t>
      </w:r>
      <w:r>
        <w:t xml:space="preserve">pan-cancer interactome modules rather than to a disease-specific proteome [@cheng2019; @barabasi2011].</w:t>
      </w:r>
      <w:r>
        <w:t xml:space="preserve"> </w:t>
      </w:r>
      <w:r>
        <w:t xml:space="preserve">Our contribution is the combination of three features: a paired tumor/normal DIA proteome as the</w:t>
      </w:r>
      <w:r>
        <w:t xml:space="preserve"> </w:t>
      </w:r>
      <w:r>
        <w:t xml:space="preserve">substrate, closer to the functional effector layer than mRNA; a network-centrality and</w:t>
      </w:r>
      <w:r>
        <w:t xml:space="preserve"> </w:t>
      </w:r>
      <w:r>
        <w:t xml:space="preserve">drug-deployability composite that resolves into several mechanistic axes rather than one target; and</w:t>
      </w:r>
      <w:r>
        <w:t xml:space="preserve"> </w:t>
      </w:r>
      <w:r>
        <w:t xml:space="preserve">directional corroboration across two external cohorts. By design the composite is dominated by</w:t>
      </w:r>
      <w:r>
        <w:t xml:space="preserve"> </w:t>
      </w:r>
      <w:r>
        <w:t xml:space="preserve">network centrality (Spearman rho approximately 0.78 with centrality alone): centrality carries the</w:t>
      </w:r>
      <w:r>
        <w:t xml:space="preserve"> </w:t>
      </w:r>
      <w:r>
        <w:t xml:space="preserve">biological signal, while the drug-level DrugViability term determines which agent to advance among</w:t>
      </w:r>
      <w:r>
        <w:t xml:space="preserve"> </w:t>
      </w:r>
      <w:r>
        <w:t xml:space="preserve">compounds that share a prioritized target. We therefore present the score as a transparent</w:t>
      </w:r>
      <w:r>
        <w:t xml:space="preserve"> </w:t>
      </w:r>
      <w:r>
        <w:t xml:space="preserve">aggregation of evidence rather than as a method whose superiority over fold-change or database-count</w:t>
      </w:r>
      <w:r>
        <w:t xml:space="preserve"> </w:t>
      </w:r>
      <w:r>
        <w:t xml:space="preserve">ranking is established, a comparison that would require dedicated benchmarking</w:t>
      </w:r>
      <w:r>
        <w:t xml:space="preserve"> </w:t>
      </w:r>
      <w:r>
        <w:t xml:space="preserve">[@pushpakom2019; @tanoli2025; @flanary2023]. Several prioritized agents are approved for</w:t>
      </w:r>
      <w:r>
        <w:t xml:space="preserve"> </w:t>
      </w:r>
      <w:r>
        <w:t xml:space="preserve">non-oncologic indications (valproate, acetazolamide, disulfiram) and could in principle offer</w:t>
      </w:r>
      <w:r>
        <w:t xml:space="preserve"> </w:t>
      </w:r>
      <w:r>
        <w:t xml:space="preserve">short-horizon, accessible repurposing options. Because single-agent repurposing has frequently</w:t>
      </w:r>
      <w:r>
        <w:t xml:space="preserve"> </w:t>
      </w:r>
      <w:r>
        <w:t xml:space="preserve">failed in HNSCC, as in a randomized trial of pantoprazole added to systemic therapy [@noronha2023],</w:t>
      </w:r>
      <w:r>
        <w:t xml:space="preserve"> </w:t>
      </w:r>
      <w:r>
        <w:t xml:space="preserve">and because the field is shifting toward perioperative, immunotherapy-based regimens in resectable</w:t>
      </w:r>
      <w:r>
        <w:t xml:space="preserve"> </w:t>
      </w:r>
      <w:r>
        <w:t xml:space="preserve">disease [@uppaluri2025], the prioritized agents are best positioned as combination candidates:</w:t>
      </w:r>
      <w:r>
        <w:t xml:space="preserve"> </w:t>
      </w:r>
      <w:r>
        <w:t xml:space="preserve">those that prime or sensitize the tumor microenvironment could complement checkpoint blockade, as</w:t>
      </w:r>
      <w:r>
        <w:t xml:space="preserve"> </w:t>
      </w:r>
      <w:r>
        <w:t xml:space="preserve">illustrated by repurposed fenofibrate in HPV+ models [@oneill2022], although our data speak to</w:t>
      </w:r>
      <w:r>
        <w:t xml:space="preserve"> </w:t>
      </w:r>
      <w:r>
        <w:t xml:space="preserve">target biology rather than to patient selection.</w:t>
      </w:r>
    </w:p>
    <w:p>
      <w:pPr>
        <w:pStyle w:val="BodyText"/>
      </w:pPr>
      <w:r>
        <w:t xml:space="preserve">Several limitations bound these conclusions. The discovery cohort is small (10 paired specimens);</w:t>
      </w:r>
      <w:r>
        <w:t xml:space="preserve"> </w:t>
      </w:r>
      <w:r>
        <w:t xml:space="preserve">cross-cohort corroboration mitigates but does not replace adequately powered confirmation. Tumor</w:t>
      </w:r>
      <w:r>
        <w:t xml:space="preserve"> </w:t>
      </w:r>
      <w:r>
        <w:t xml:space="preserve">and adjacent-normal specimens differ in cellular composition, and muscle and respiratory-mucosa</w:t>
      </w:r>
      <w:r>
        <w:t xml:space="preserve"> </w:t>
      </w:r>
      <w:r>
        <w:t xml:space="preserve">signals in the down-regulated proteome likely reflect tissue context rather than tumor-intrinsic</w:t>
      </w:r>
      <w:r>
        <w:t xml:space="preserve"> </w:t>
      </w:r>
      <w:r>
        <w:t xml:space="preserve">biology; hallmark terms such as Myogenesis and Adipogenesis should be read accordingly, although</w:t>
      </w:r>
      <w:r>
        <w:t xml:space="preserve"> </w:t>
      </w:r>
      <w:r>
        <w:t xml:space="preserve">sensitivity analyses excluding tissue-composition markers left the prioritized targets and the</w:t>
      </w:r>
      <w:r>
        <w:t xml:space="preserve"> </w:t>
      </w:r>
      <w:r>
        <w:t xml:space="preserve">oxidative-phosphorylation axis essentially unchanged. Data-independent acquisition with MinProb</w:t>
      </w:r>
      <w:r>
        <w:t xml:space="preserve"> </w:t>
      </w:r>
      <w:r>
        <w:t xml:space="preserve">imputation can mildly bias proteins absent from tumor tissue toward apparent under-abundance, an</w:t>
      </w:r>
      <w:r>
        <w:t xml:space="preserve"> </w:t>
      </w:r>
      <w:r>
        <w:t xml:space="preserve">effect that appears to be largely genuine biology and affected only a small minority of</w:t>
      </w:r>
      <w:r>
        <w:t xml:space="preserve"> </w:t>
      </w:r>
      <w:r>
        <w:t xml:space="preserve">under-abundant proteins. The differential-abundance component of the score is directional,</w:t>
      </w:r>
      <w:r>
        <w:t xml:space="preserve"> </w:t>
      </w:r>
      <w:r>
        <w:t xml:space="preserve">rewarding inhibition of over-abundant targets, so under-abundant or potential tumor-suppressor</w:t>
      </w:r>
      <w:r>
        <w:t xml:space="preserve"> </w:t>
      </w:r>
      <w:r>
        <w:t xml:space="preserve">nodes are structurally down-weighted and reach prioritization mainly through centrality, as for the</w:t>
      </w:r>
      <w:r>
        <w:t xml:space="preserve"> </w:t>
      </w:r>
      <w:r>
        <w:t xml:space="preserve">metabolic axis. Crucially, the external cohorts corroborate the direction of change in the</w:t>
      </w:r>
      <w:r>
        <w:t xml:space="preserve"> </w:t>
      </w:r>
      <w:r>
        <w:t xml:space="preserve">prioritized targets; they do not test drug efficacy or the candidate rank order, and four anchors</w:t>
      </w:r>
      <w:r>
        <w:t xml:space="preserve"> </w:t>
      </w:r>
      <w:r>
        <w:t xml:space="preserve">(PDE6D, CA2, CDA, RPS11) were weakly concordant or discordant and should be treated as</w:t>
      </w:r>
      <w:r>
        <w:t xml:space="preserve"> </w:t>
      </w:r>
      <w:r>
        <w:t xml:space="preserve">lower-confidence nominations.</w:t>
      </w:r>
    </w:p>
    <w:p>
      <w:pPr>
        <w:pStyle w:val="BodyText"/>
      </w:pPr>
      <w:r>
        <w:t xml:space="preserve">This is an in silico prioritization, so the candidates are hypotheses that require functional</w:t>
      </w:r>
      <w:r>
        <w:t xml:space="preserve"> </w:t>
      </w:r>
      <w:r>
        <w:t xml:space="preserve">validation, and the axes suggest concrete next experiments. The epigenetic axis is most directly</w:t>
      </w:r>
      <w:r>
        <w:t xml:space="preserve"> </w:t>
      </w:r>
      <w:r>
        <w:t xml:space="preserve">testable through a prime-then-checkpoint sequence, decitabine or azacitidine followed by PD-1</w:t>
      </w:r>
      <w:r>
        <w:t xml:space="preserve"> </w:t>
      </w:r>
      <w:r>
        <w:t xml:space="preserve">blockade, in immunocompetent HNSCC models with readouts of tumor-infiltrating lymphocytes and PD-L1</w:t>
      </w:r>
      <w:r>
        <w:t xml:space="preserve"> </w:t>
      </w:r>
      <w:r>
        <w:t xml:space="preserve">[@bear2025]. The proteasome axis warrants dose-response testing of carfilzomib in HNSCC cell lines</w:t>
      </w:r>
      <w:r>
        <w:t xml:space="preserve"> </w:t>
      </w:r>
      <w:r>
        <w:t xml:space="preserve">and patient-derived xenografts with an unfolded-protein-response readout, the under-explored axis</w:t>
      </w:r>
      <w:r>
        <w:t xml:space="preserve"> </w:t>
      </w:r>
      <w:r>
        <w:t xml:space="preserve">with the least precedent in solid tumors [@zang2012]. The metabolic axis is the closest to the</w:t>
      </w:r>
      <w:r>
        <w:t xml:space="preserve"> </w:t>
      </w:r>
      <w:r>
        <w:t xml:space="preserve">clinic and is best advanced as metformin combined with chemoradiation or checkpoint blockade rather</w:t>
      </w:r>
      <w:r>
        <w:t xml:space="preserve"> </w:t>
      </w:r>
      <w:r>
        <w:t xml:space="preserve">than as monotherapy, building on early-phase tolerability data [@kemnade2023]. Within these bounds,</w:t>
      </w:r>
      <w:r>
        <w:t xml:space="preserve"> </w:t>
      </w:r>
      <w:r>
        <w:t xml:space="preserve">the study offers a credible, mechanism-organized set of repurposing candidates and a prioritized</w:t>
      </w:r>
      <w:r>
        <w:t xml:space="preserve"> </w:t>
      </w:r>
      <w:r>
        <w:t xml:space="preserve">agenda for preclinical and combination-trial follow-up in HNSCC.</w:t>
      </w:r>
    </w:p>
    <w:bookmarkEnd w:id="26"/>
    <w:bookmarkEnd w:id="27"/>
    <w:bookmarkStart w:id="4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6"/>
    <w:bookmarkStart w:id="47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2026-06-16T00:52:50Z</dcterms:created>
  <dcterms:modified xsi:type="dcterms:W3CDTF">2026-06-16T00:52:50Z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