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HNSCC Drug Repurposing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Figuras y Tablas por Objetivo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Tesis de grado  •  2026-04-11  •  Sección 0 + OE1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General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Evaluar in silico el potencial de reposicionamiento de fármacos existentes para el tratamiento del cáncer escamocelular de cabeza y cuello, integrando datos proteómicos, análisis bioinformáticos y evidencia farmacológica que permita identificar candidatos con relevancia terapéutica.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Sección 0 — Caracterización del perfil proteómico diferencial</w:t>
      </w:r>
    </w:p>
    <w:p>
      <w:pPr>
        <w:spacing w:after="14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Base metodológica. Responde: ¿Cuál es el proteoma diferencial de HNSCC frente a tejido normal adyacente? ¿Qué procesos biológicos están alterados?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A_PCA.png" descr="Sec0_FigA_PCA.png" title="Sec0_FigA_P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1.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Análisis de Componentes Principales (PCA) de las 20 muestras (10 pares tumor/normal). El PC1 separa tumor de tejido normal. La forma del punto indica estado HPV (triángulo = HPV+, círculo = HPV−). Las líneas conectan los pares del mismo paciente.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B_volcano.png" descr="Sec0_FigB_volcano.png" title="Sec0_FigB_volca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2.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Volcano plot del contraste Tumor vs. Tejido Normal (TVsS). 666 proteínas diferencialmente expresadas (FDR &lt; 0.05, |log2FC| &gt; 1): 329 sobreexpresadas (naranja) y 337 subexpresadas (azul). Se etiquetan proteínas de interés terapéutico (EGFR, PSMB2, PSMA1, DNMT1, NDUFA9, NDUFS3).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C_heatmap_topDE.png" descr="Sec0_FigC_heatmap_topDE.png" title="Sec0_FigC_heatmap_top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3.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Mapa de calor (Z-score) de las top 40 proteínas DE (20 más sobreexpresadas + 20 más subexpresadas por |log2FC|) en las 20 muestras. La selección se restringió a proteínas detectadas en las 20/20 muestras (194 sobreexpresadas + 137 subexpresadas elegibles), evitando valores faltantes y garantizando un Z-score válido para cada muestra. Las barras superiores indican condición (tumor/normal) y estado HPV por muestra.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D_hallmarks_gsea.png" descr="Sec0_FigD_hallmarks_gsea.png" title="Sec0_FigD_hallmarks_gse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4.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GSEA sobre la colección Hallmarks MSigDB. Barplot horizontal ordenado por NES. Rojo = activado en tumor; azul = reprimido en tumor. Destaca la represión de fosforilación oxidativa (OXPHOS) y la activación de proliferación celular.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estadístico del análisis de expresión diferencial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4066"/>
      </w:tblGrid>
      <w:tr>
        <w:trPr>
          <w:tblHeader/>
        </w:trP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cuantificadas (total)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Proteómica DIA, MaxQuant, 10 pares tumor/normal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mapeadas a Entrez ID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Mapeo con org.Hs.eg.db (Bioconductor)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log2 Fold Change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1.0  (cambio &gt; 2× en escala lineal)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Aplicado sobre contrastes limma TVsS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FDR (adj. p-valor)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0.05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Benjamini-Hochberg (limma/proteoDA)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DE significativas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19.9% del proteoma cuantificado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Sobreexpresadas en tumor (up)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329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49.4%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Subexpresadas en tumor (down)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HPV+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pacientes / 12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M3, M5, M6, M7, M9, M10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HPV−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pacientes / 8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M1, M2, M4, M8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40 proteínas diferencialmente expresadas (20 up + 20 down)</w:t>
      </w:r>
    </w:p>
    <w:tbl>
      <w:tblPr>
        <w:tblW w:type="dxa" w:w="8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400"/>
        <w:gridCol w:w="1600"/>
        <w:gridCol w:w="2466"/>
      </w:tblGrid>
      <w:tr>
        <w:trPr>
          <w:tblHeader/>
        </w:trP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UniProt ID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log2FC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FDR (adj.p)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Dirección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PHKA1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P46020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0.00613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Q13751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LAMA3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Q16787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SERPINE1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3.093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0.00946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PTK7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Q13308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3.079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IL36RN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Q9UBH0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3.043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0.0185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TNC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P24821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ISG15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P05161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FRRS1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Q6ZNA5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0.00861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RNASE2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P10153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0.0169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P02462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LSM7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Q9UK45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0.00755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STARD5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Q9NSY2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EIF2S3B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Q2VIR3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0.0128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P53999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2.635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MCM3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P25205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2.621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0.00876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CTHRC1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Q96CG8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PSPH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P78330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2.541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0.00454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HMGB3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O15347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0.0473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P08572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2.516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6.39e-4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SLC25A4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P12235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-5.99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MYLPF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Q96A32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-5.291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9.32e-4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HSPB6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O14558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-4.923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P10916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-4.907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CASQ1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P31415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-4.84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SYPL2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Q5VXT5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-4.724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0.00221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FHL1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Q13642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-4.701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Q9UKX2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-4.685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P08590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P12883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-4.573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Q8TDL5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-4.415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CRYAB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P02511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-4.342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O75112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-4.268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Q9NP55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-4.167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PYGM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P11217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-4.013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0.00219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P05976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GPD1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P21695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-3.997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TCAP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O15273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-3.932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0.0192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PADI2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Q9Y2J8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-3.859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0.00275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ATP2A1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O14983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-3.756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Específico 1 — Relacionar proteínas DE con fármacos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Relacionar proteínas expresadas diferencialmente en cáncer escamocelular de cabeza y cuello con fármacos reportados en bases de datos públicas, utilizando herramientas bioinformáticas de reposicionamiento y análisis de conectividad.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A_drug_sources_bar.png" descr="OE1_FigA_drug_sources_bar.png" title="OE1_FigA_drug_sources_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5.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Número de fármacos candidatos identificados por cada base de datos consultada (DGIdb, OpenTargets, L2S2, ChEMBL). Ilustra la estrategia multi-fuente y la cobertura diferencial de cada recurso.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B_drug_phase_dist.png" descr="OE1_FigB_drug_phase_dist.png" title="OE1_FigB_drug_phase_d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6.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Distribución de fases clínicas de los candidatos multi-fuente (n = 458; presentes en ≥2 bases de datos). El 75% son fármacos aprobados: 120 con Fase IV confirmada por ChEMBL (verde oscuro) y 222 aprobados identificados por DGIdb sin registro de fase en ChEMBL (verde claro). Esta distinción es importante: ambos grupos tienen perfil de seguridad establecido y son candidatos viables para reposicionamiento.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3848100"/>
            <wp:effectExtent t="0" r="0" b="0" l="0"/>
            <wp:docPr id="1" name="OE1_FigC_upset_sources.png" descr="OE1_FigC_upset_sources.png" title="OE1_FigC_upset_sourc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7.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Diagrama UpSet de solapamiento entre las cuatro bases de datos consultadas. Los candidatos con respaldo en múltiples fuentes (intersección) representan la evidencia más convergente y constituyen el núcleo de mayor prioridad para OE2.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pBdr>
          <w:bottom w:val="single" w:color="B0C8E0" w:sz="6" w:space="3"/>
        </w:pBdr>
        <w:spacing w:after="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Objetivo Específico 2 — Priorizar candidatos mediante análisis multi-criterio</w:t>
      </w:r>
    </w:p>
    <w:p>
      <w:pPr>
        <w:spacing w:after="60" w:before="60"/>
      </w:pPr>
    </w:p>
    <w:p>
      <w:pPr>
        <w:spacing w:after="120" w:before="120"/>
        <w:ind w:left="72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Priorizar los fármacos candidatos mediante una puntuación compuesta (composite score) que integra señal protéomica, conectividad transcriptómica, relevancia de vías, centralidad en redes PPI y fase clínica, validando la robustez del ranking mediante análisis de sensibilidad por nivel de detección (LOD).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5.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EGFR LOD-stable — validación del método (n = 26)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800"/>
        <w:gridCol w:w="1700"/>
        <w:gridCol w:w="1000"/>
        <w:gridCol w:w="9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Subclase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 HNSCC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 Sarotalocan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Necitumumab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Depatuxizumab Mafodotin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Vandetanib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0.754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Crizotinib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0.675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Metformin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0.658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Gefitinib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Erlotinib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0.772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Neratinib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0.753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0.739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0.671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Lapatinib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Canertinib Dihydrochloride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Lazertinib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Mobocertinib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Olmutinib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Osimertinib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Rociletinib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Abivertinib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Firmonertinib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5. Fármacos dirigidos al eje EGFR/ErbB que permanecen en el top del ranking en las cuatro variaciones de umbral LOD testadas. La dominancia de este eje es consistente con la biología establecida de HNSCC y valida el enfoque no supervisado del pipeline. ‘Aprobado HNSCC’ indica aprobación regulatoria FDA/EMA específica para HNSCC (no off-label ni solo evidencia de ensayos clínicos).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6.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no-EGFR LOD-stable — oportunidades de reposicionamiento (n = 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800"/>
        <w:gridCol w:w="1800"/>
        <w:gridCol w:w="1300"/>
        <w:gridCol w:w="666"/>
        <w:gridCol w:w="800"/>
        <w:gridCol w:w="800"/>
      </w:tblGrid>
      <w:tr>
        <w:trPr>
          <w:tblHeader/>
        </w:trP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Mecanismo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actual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CMap score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Decitabine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DNMT1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-0.414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0.715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-0.488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desaminasa de citidina (potenciador DNMT)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(combinado con decitabine)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 proteasoma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Mieloma múltiple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-0.277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Mitapivat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Activador piruvato quinasa (PK-R)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PKLR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Anemia hemolítica (deficiencia piruvato quinasa)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Tranylcypromine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LSD1/MAO (epigenético)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Depresión / investigacional en oncología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-0.542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0.641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6. Fármacos con target primario distinto al eje EGFR/ErbB que mantienen robustez en los cuatro niveles LOD. Constituyen la contribución principal del análisis de reposicionamiento. CMap score: conectividad negativa (reversión de firma transcriptómica) en L2S2; NA = perfil no disponible. Target primario: gen DE con mayor solapamiento en el proteoma; puede diferir del mecanismo farmacológico principal (e.g., Metformina y Crizotinib muestran EGFR como target por solapamiento protéomico, no por mecanismo).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S1.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extendidos no-EGFR — robustos a pesos, sensibles a tamaño de pool (n = 20)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000"/>
        <w:gridCol w:w="2000"/>
        <w:gridCol w:w="1466"/>
        <w:gridCol w:w="1500"/>
      </w:tblGrid>
      <w:tr>
        <w:trPr>
          <w:tblHeader/>
        </w:trP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configs (de 6)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Tenatumomab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TNC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Pabinafusp Alfa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TFRC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Andecaliximab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MMP9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Ixazomib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EML4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Pargyline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Sigvotatug Vedotin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ITGB6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Bortezomib D-Mannitol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Forigerimod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HSPA8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ALDH5A1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Mizoribine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 Mofetil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GGH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Perhexiline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CPT2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Isocarboxazid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Disulfiram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Volanesorsen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APOC3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0.584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Digitoxin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Suplementaria S1. Fármacos no-EGFR presentes en ≥5/6 configuraciones de pesos del análisis de sensibilidad pero no LOD-stable (caen fuera del top-N con algunos umbrales de detección). Presentados como candidatos exploratorios de segunda prioridad. OE3 pendiente de planificación.</w:t>
      </w:r>
    </w:p>
    <w:p>
      <w:pPr>
        <w:spacing w:after="60" w:before="60"/>
      </w:pP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e083b4485ee9e240e6ae59b6f52d8f32a2129961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0706d14d08f6e3a97f50c06ab053b9f30841b6b5.png"/><Relationship Id="rId13" Type="http://schemas.openxmlformats.org/officeDocument/2006/relationships/image" Target="media/e99cd125e0ca7e2665018733fde98e5f6e44ac0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2026-04-12T02:40:46.304Z</dcterms:created>
  <dcterms:modified xsi:type="dcterms:W3CDTF">2026-04-12T02:40:46.304Z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