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HNSCC Drug Repurposing</w:t>
      </w:r>
    </w:p>
    <w:p>
      <w:pPr>
        <w:spacing w:after="80" w:before="0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Figuras y Tablas por Objetivo</w:t>
      </w:r>
    </w:p>
    <w:p>
      <w:pPr>
        <w:spacing w:after="24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Tesis de grado  •  2026-04-11  •  Sección 0 + OE1</w:t>
      </w:r>
    </w:p>
    <w:p>
      <w:pPr>
        <w:pBdr>
          <w:bottom w:val="single" w:color="B0C8E0" w:sz="6" w:space="3"/>
        </w:pBdr>
        <w:spacing w:after="0" w:before="160"/>
      </w:pPr>
    </w:p>
    <w:p>
      <w:pPr>
        <w:pBdr>
          <w:bottom w:val="single" w:color="2E75B6" w:sz="10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Objetivo General</w:t>
      </w:r>
    </w:p>
    <w:p>
      <w:pPr>
        <w:pBdr>
          <w:left w:val="single" w:color="2E75B6" w:sz="12" w:space="6"/>
        </w:pBdr>
        <w:spacing w:after="160" w:before="6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Evaluar in silico el potencial de reposicionamiento de fármacos existentes para el tratamiento del cáncer escamocelular de cabeza y cuello, integrando datos proteómicos, análisis bioinformáticos y evidencia farmacológica que permita identificar candidatos con relevancia terapéutica.</w:t>
      </w:r>
    </w:p>
    <w:p>
      <w:pPr>
        <w:pBdr>
          <w:bottom w:val="single" w:color="B0C8E0" w:sz="6" w:space="3"/>
        </w:pBdr>
        <w:spacing w:after="0" w:before="160"/>
      </w:pPr>
    </w:p>
    <w:p>
      <w:pPr>
        <w:pBdr>
          <w:bottom w:val="single" w:color="2E75B6" w:sz="10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Sección 0 — Caracterización del perfil proteómico diferencial</w:t>
      </w:r>
    </w:p>
    <w:p>
      <w:pPr>
        <w:spacing w:after="14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Base metodológica. Responde: ¿Cuál es el proteoma diferencial de HNSCC frente a tejido normal adyacente? ¿Qué procesos biológicos están alterados?</w:t>
      </w:r>
    </w:p>
    <w:p>
      <w:pPr>
        <w:spacing w:after="60" w:before="100"/>
        <w:jc w:val="center"/>
      </w:pPr>
      <w:r>
        <w:drawing>
          <wp:inline distT="0" distB="0" distL="0" distR="0">
            <wp:extent cx="5543550" cy="3695700"/>
            <wp:effectExtent t="0" r="0" b="0" l="0"/>
            <wp:docPr id="1" name="Sec0_FigA_PCA.png" descr="Sec0_FigA_PCA.png" title="Sec0_FigA_PC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Figura 1. </w:t>
      </w:r>
      <w:r>
        <w:rPr>
          <w:rFonts w:ascii="Arial" w:cs="Arial" w:eastAsia="Arial" w:hAnsi="Arial"/>
          <w:i w:val="false"/>
          <w:iCs w:val="false"/>
          <w:color w:val="444444"/>
          <w:sz w:val="18"/>
          <w:szCs w:val="18"/>
        </w:rPr>
        <w:t xml:space="preserve">Análisis de Componentes Principales (PCA) de las 20 muestras (10 pares tumor/normal). El PC1 separa tumor de tejido normal. La forma del punto indica estado HPV (triángulo = HPV+, círculo = HPV−). Las líneas conectan los pares del mismo paciente.</w:t>
      </w:r>
    </w:p>
    <w:p>
      <w:pPr>
        <w:spacing w:after="60" w:before="100"/>
        <w:jc w:val="center"/>
      </w:pPr>
      <w:r>
        <w:drawing>
          <wp:inline distT="0" distB="0" distL="0" distR="0">
            <wp:extent cx="5543550" cy="3695700"/>
            <wp:effectExtent t="0" r="0" b="0" l="0"/>
            <wp:docPr id="1" name="Sec0_FigB_volcano.png" descr="Sec0_FigB_volcano.png" title="Sec0_FigB_volcan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Figura 2. </w:t>
      </w:r>
      <w:r>
        <w:rPr>
          <w:rFonts w:ascii="Arial" w:cs="Arial" w:eastAsia="Arial" w:hAnsi="Arial"/>
          <w:i w:val="false"/>
          <w:iCs w:val="false"/>
          <w:color w:val="444444"/>
          <w:sz w:val="18"/>
          <w:szCs w:val="18"/>
        </w:rPr>
        <w:t xml:space="preserve">Volcano plot del contraste Tumor vs. Tejido Normal (TVsS). 666 proteínas diferencialmente expresadas (FDR &lt; 0.05, |log2FC| &gt; 1): 329 sobreexpresadas (naranja) y 337 subexpresadas (azul). Se etiquetan proteínas de interés terapéutico (EGFR, PSMB2, PSMA1, DNMT1, NDUFA9, NDUFS3).</w:t>
      </w:r>
    </w:p>
    <w:p>
      <w:pPr>
        <w:spacing w:after="60" w:before="100"/>
        <w:jc w:val="center"/>
      </w:pPr>
      <w:r>
        <w:drawing>
          <wp:inline distT="0" distB="0" distL="0" distR="0">
            <wp:extent cx="5219700" cy="4933950"/>
            <wp:effectExtent t="0" r="0" b="0" l="0"/>
            <wp:docPr id="1" name="Sec0_FigC_heatmap_topDE.png" descr="Sec0_FigC_heatmap_topDE.png" title="Sec0_FigC_heatmap_top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Figura 3. </w:t>
      </w:r>
      <w:r>
        <w:rPr>
          <w:rFonts w:ascii="Arial" w:cs="Arial" w:eastAsia="Arial" w:hAnsi="Arial"/>
          <w:i w:val="false"/>
          <w:iCs w:val="false"/>
          <w:color w:val="444444"/>
          <w:sz w:val="18"/>
          <w:szCs w:val="18"/>
        </w:rPr>
        <w:t xml:space="preserve">Mapa de calor (Z-score) de las top 40 proteínas DE (20 más sobreexpresadas + 20 más subexpresadas por |log2FC|) en las 20 muestras. La selección se restringió a proteínas detectadas en las 20/20 muestras (194 sobreexpresadas + 137 subexpresadas elegibles), evitando valores faltantes y garantizando un Z-score válido para cada muestra. Las barras superiores indican condición (tumor/normal) y estado HPV por muestra.</w:t>
      </w:r>
    </w:p>
    <w:p>
      <w:pPr>
        <w:spacing w:after="60" w:before="100"/>
        <w:jc w:val="center"/>
      </w:pPr>
      <w:r>
        <w:drawing>
          <wp:inline distT="0" distB="0" distL="0" distR="0">
            <wp:extent cx="5219700" cy="4933950"/>
            <wp:effectExtent t="0" r="0" b="0" l="0"/>
            <wp:docPr id="1" name="Sec0_FigD_hallmarks_gsea.png" descr="Sec0_FigD_hallmarks_gsea.png" title="Sec0_FigD_hallmarks_gse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Figura 4. </w:t>
      </w:r>
      <w:r>
        <w:rPr>
          <w:rFonts w:ascii="Arial" w:cs="Arial" w:eastAsia="Arial" w:hAnsi="Arial"/>
          <w:i w:val="false"/>
          <w:iCs w:val="false"/>
          <w:color w:val="444444"/>
          <w:sz w:val="18"/>
          <w:szCs w:val="18"/>
        </w:rPr>
        <w:t xml:space="preserve">GSEA sobre la colección Hallmarks MSigDB. Barplot horizontal ordenado por NES. Rojo = activado en tumor; azul = reprimido en tumor. Destaca la represión de fosforilación oxidativa (OXPHOS) y la activación de proliferación celular.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Tabla 1.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Resumen estadístico del análisis de expresión diferencial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4066"/>
      </w:tblGrid>
      <w:tr>
        <w:trPr>
          <w:tblHeader/>
        </w:trPr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Parámetro</w:t>
            </w:r>
          </w:p>
        </w:tc>
        <w:tc>
          <w:tcPr>
            <w:tcW w:type="dxa" w:w="2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Valor</w:t>
            </w:r>
          </w:p>
        </w:tc>
        <w:tc>
          <w:tcPr>
            <w:tcW w:type="dxa" w:w="40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Nota</w:t>
            </w:r>
          </w:p>
        </w:tc>
      </w:tr>
      <w:tr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Proteínas cuantificadas (total)</w:t>
            </w:r>
          </w:p>
        </w:tc>
        <w:tc>
          <w:tcPr>
            <w:tcW w:type="dxa" w:w="2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3352</w:t>
            </w:r>
          </w:p>
        </w:tc>
        <w:tc>
          <w:tcPr>
            <w:tcW w:type="dxa" w:w="40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Proteómica DIA, MaxQuant, 10 pares tumor/normal</w:t>
            </w:r>
          </w:p>
        </w:tc>
      </w:tr>
      <w:tr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Proteínas mapeadas a Entrez ID</w:t>
            </w:r>
          </w:p>
        </w:tc>
        <w:tc>
          <w:tcPr>
            <w:tcW w:type="dxa" w:w="2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3352</w:t>
            </w:r>
          </w:p>
        </w:tc>
        <w:tc>
          <w:tcPr>
            <w:tcW w:type="dxa" w:w="40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Mapeo con org.Hs.eg.db (Bioconductor)</w:t>
            </w:r>
          </w:p>
        </w:tc>
      </w:tr>
      <w:tr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Umbral log2 Fold Change</w:t>
            </w:r>
          </w:p>
        </w:tc>
        <w:tc>
          <w:tcPr>
            <w:tcW w:type="dxa" w:w="2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 1.0  (cambio &gt; 2× en escala lineal)</w:t>
            </w:r>
          </w:p>
        </w:tc>
        <w:tc>
          <w:tcPr>
            <w:tcW w:type="dxa" w:w="40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Aplicado sobre contrastes limma TVsS</w:t>
            </w:r>
          </w:p>
        </w:tc>
      </w:tr>
      <w:tr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Umbral FDR (adj. p-valor)</w:t>
            </w:r>
          </w:p>
        </w:tc>
        <w:tc>
          <w:tcPr>
            <w:tcW w:type="dxa" w:w="2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0.05</w:t>
            </w:r>
          </w:p>
        </w:tc>
        <w:tc>
          <w:tcPr>
            <w:tcW w:type="dxa" w:w="40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Benjamini-Hochberg (limma/proteoDA)</w:t>
            </w:r>
          </w:p>
        </w:tc>
      </w:tr>
      <w:tr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Proteínas DE significativas</w:t>
            </w:r>
          </w:p>
        </w:tc>
        <w:tc>
          <w:tcPr>
            <w:tcW w:type="dxa" w:w="2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666</w:t>
            </w:r>
          </w:p>
        </w:tc>
        <w:tc>
          <w:tcPr>
            <w:tcW w:type="dxa" w:w="40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19.9% del proteoma cuantificado</w:t>
            </w:r>
          </w:p>
        </w:tc>
      </w:tr>
      <w:tr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— Sobreexpresadas en tumor (up)</w:t>
            </w:r>
          </w:p>
        </w:tc>
        <w:tc>
          <w:tcPr>
            <w:tcW w:type="dxa" w:w="2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329</w:t>
            </w:r>
          </w:p>
        </w:tc>
        <w:tc>
          <w:tcPr>
            <w:tcW w:type="dxa" w:w="40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49.4% del total DE</w:t>
            </w:r>
          </w:p>
        </w:tc>
      </w:tr>
      <w:tr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— Subexpresadas en tumor (down)</w:t>
            </w:r>
          </w:p>
        </w:tc>
        <w:tc>
          <w:tcPr>
            <w:tcW w:type="dxa" w:w="2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337</w:t>
            </w:r>
          </w:p>
        </w:tc>
        <w:tc>
          <w:tcPr>
            <w:tcW w:type="dxa" w:w="40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50.6% del total DE</w:t>
            </w:r>
          </w:p>
        </w:tc>
      </w:tr>
      <w:tr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HPV+ pacientes / pares</w:t>
            </w:r>
          </w:p>
        </w:tc>
        <w:tc>
          <w:tcPr>
            <w:tcW w:type="dxa" w:w="2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 pacientes / 12 muestras</w:t>
            </w:r>
          </w:p>
        </w:tc>
        <w:tc>
          <w:tcPr>
            <w:tcW w:type="dxa" w:w="40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M3, M5, M6, M7, M9, M10</w:t>
            </w:r>
          </w:p>
        </w:tc>
      </w:tr>
      <w:tr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HPV− pacientes / pares</w:t>
            </w:r>
          </w:p>
        </w:tc>
        <w:tc>
          <w:tcPr>
            <w:tcW w:type="dxa" w:w="2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pacientes / 8 muestras</w:t>
            </w:r>
          </w:p>
        </w:tc>
        <w:tc>
          <w:tcPr>
            <w:tcW w:type="dxa" w:w="40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M1, M2, M4, M8</w:t>
            </w:r>
          </w:p>
        </w:tc>
      </w:tr>
    </w:tbl>
    <w:p>
      <w:pPr>
        <w:spacing w:after="6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Tabla 2.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Top 40 proteínas diferencialmente expresadas (20 up + 20 down)</w:t>
      </w:r>
    </w:p>
    <w:tbl>
      <w:tblPr>
        <w:tblW w:type="dxa" w:w="8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400"/>
        <w:gridCol w:w="1600"/>
        <w:gridCol w:w="2466"/>
      </w:tblGrid>
      <w:tr>
        <w:trPr>
          <w:tblHeader/>
        </w:trPr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Gen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UniProt ID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log2FC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FDR (adj.p)</w:t>
            </w:r>
          </w:p>
        </w:tc>
        <w:tc>
          <w:tcPr>
            <w:tcW w:type="dxa" w:w="24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Dirección</w:t>
            </w:r>
          </w:p>
        </w:tc>
      </w:tr>
      <w:tr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PHKA1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P46020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3.744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0.00613</w:t>
            </w:r>
          </w:p>
        </w:tc>
        <w:tc>
          <w:tcPr>
            <w:tcW w:type="dxa" w:w="24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Sobreexpresada</w:t>
            </w:r>
          </w:p>
        </w:tc>
      </w:tr>
      <w:tr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LAMB3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Q13751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3.444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9.23e-4</w:t>
            </w:r>
          </w:p>
        </w:tc>
        <w:tc>
          <w:tcPr>
            <w:tcW w:type="dxa" w:w="24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Sobreexpresada</w:t>
            </w:r>
          </w:p>
        </w:tc>
      </w:tr>
      <w:tr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LAMA3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Q16787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3.22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1.38e-4</w:t>
            </w:r>
          </w:p>
        </w:tc>
        <w:tc>
          <w:tcPr>
            <w:tcW w:type="dxa" w:w="24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Sobreexpresada</w:t>
            </w:r>
          </w:p>
        </w:tc>
      </w:tr>
      <w:tr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SERPINE1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P05121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3.093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0.00946</w:t>
            </w:r>
          </w:p>
        </w:tc>
        <w:tc>
          <w:tcPr>
            <w:tcW w:type="dxa" w:w="24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Sobreexpresada</w:t>
            </w:r>
          </w:p>
        </w:tc>
      </w:tr>
      <w:tr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PTK7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Q13308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3.079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1.43e-4</w:t>
            </w:r>
          </w:p>
        </w:tc>
        <w:tc>
          <w:tcPr>
            <w:tcW w:type="dxa" w:w="24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Sobreexpresada</w:t>
            </w:r>
          </w:p>
        </w:tc>
      </w:tr>
      <w:tr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IL36RN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Q9UBH0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3.043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0.0185</w:t>
            </w:r>
          </w:p>
        </w:tc>
        <w:tc>
          <w:tcPr>
            <w:tcW w:type="dxa" w:w="24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Sobreexpresada</w:t>
            </w:r>
          </w:p>
        </w:tc>
      </w:tr>
      <w:tr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TNC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P24821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2.939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0.00197</w:t>
            </w:r>
          </w:p>
        </w:tc>
        <w:tc>
          <w:tcPr>
            <w:tcW w:type="dxa" w:w="24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Sobreexpresada</w:t>
            </w:r>
          </w:p>
        </w:tc>
      </w:tr>
      <w:tr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ISG15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P05161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2.844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0.00183</w:t>
            </w:r>
          </w:p>
        </w:tc>
        <w:tc>
          <w:tcPr>
            <w:tcW w:type="dxa" w:w="24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Sobreexpresada</w:t>
            </w:r>
          </w:p>
        </w:tc>
      </w:tr>
      <w:tr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FRRS1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Q6ZNA5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2.837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0.00861</w:t>
            </w:r>
          </w:p>
        </w:tc>
        <w:tc>
          <w:tcPr>
            <w:tcW w:type="dxa" w:w="24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Sobreexpresada</w:t>
            </w:r>
          </w:p>
        </w:tc>
      </w:tr>
      <w:tr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RNASE2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P10153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2.836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0.0169</w:t>
            </w:r>
          </w:p>
        </w:tc>
        <w:tc>
          <w:tcPr>
            <w:tcW w:type="dxa" w:w="24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Sobreexpresada</w:t>
            </w:r>
          </w:p>
        </w:tc>
      </w:tr>
      <w:tr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COL4A1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P02462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2.658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0.00174</w:t>
            </w:r>
          </w:p>
        </w:tc>
        <w:tc>
          <w:tcPr>
            <w:tcW w:type="dxa" w:w="24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Sobreexpresada</w:t>
            </w:r>
          </w:p>
        </w:tc>
      </w:tr>
      <w:tr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LSM7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Q9UK45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2.653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0.00755</w:t>
            </w:r>
          </w:p>
        </w:tc>
        <w:tc>
          <w:tcPr>
            <w:tcW w:type="dxa" w:w="24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Sobreexpresada</w:t>
            </w:r>
          </w:p>
        </w:tc>
      </w:tr>
      <w:tr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STARD5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Q9NSY2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2.646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0.00483</w:t>
            </w:r>
          </w:p>
        </w:tc>
        <w:tc>
          <w:tcPr>
            <w:tcW w:type="dxa" w:w="24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Sobreexpresada</w:t>
            </w:r>
          </w:p>
        </w:tc>
      </w:tr>
      <w:tr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EIF2S3B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Q2VIR3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2.644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0.0128</w:t>
            </w:r>
          </w:p>
        </w:tc>
        <w:tc>
          <w:tcPr>
            <w:tcW w:type="dxa" w:w="24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Sobreexpresada</w:t>
            </w:r>
          </w:p>
        </w:tc>
      </w:tr>
      <w:tr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SUB1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P53999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2.635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0.00486</w:t>
            </w:r>
          </w:p>
        </w:tc>
        <w:tc>
          <w:tcPr>
            <w:tcW w:type="dxa" w:w="24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Sobreexpresada</w:t>
            </w:r>
          </w:p>
        </w:tc>
      </w:tr>
      <w:tr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MCM3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P25205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2.621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0.00876</w:t>
            </w:r>
          </w:p>
        </w:tc>
        <w:tc>
          <w:tcPr>
            <w:tcW w:type="dxa" w:w="24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Sobreexpresada</w:t>
            </w:r>
          </w:p>
        </w:tc>
      </w:tr>
      <w:tr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CTHRC1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Q96CG8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2.57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0.00474</w:t>
            </w:r>
          </w:p>
        </w:tc>
        <w:tc>
          <w:tcPr>
            <w:tcW w:type="dxa" w:w="24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Sobreexpresada</w:t>
            </w:r>
          </w:p>
        </w:tc>
      </w:tr>
      <w:tr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PSPH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P78330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2.541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0.00454</w:t>
            </w:r>
          </w:p>
        </w:tc>
        <w:tc>
          <w:tcPr>
            <w:tcW w:type="dxa" w:w="24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Sobreexpresada</w:t>
            </w:r>
          </w:p>
        </w:tc>
      </w:tr>
      <w:tr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HMGB3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O15347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2.539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0.0473</w:t>
            </w:r>
          </w:p>
        </w:tc>
        <w:tc>
          <w:tcPr>
            <w:tcW w:type="dxa" w:w="24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Sobreexpresada</w:t>
            </w:r>
          </w:p>
        </w:tc>
      </w:tr>
      <w:tr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COL4A2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P08572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2.516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6.39e-4</w:t>
            </w:r>
          </w:p>
        </w:tc>
        <w:tc>
          <w:tcPr>
            <w:tcW w:type="dxa" w:w="24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Sobreexpresada</w:t>
            </w:r>
          </w:p>
        </w:tc>
      </w:tr>
      <w:tr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SLC25A4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P12235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-5.99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3.23e-4</w:t>
            </w:r>
          </w:p>
        </w:tc>
        <w:tc>
          <w:tcPr>
            <w:tcW w:type="dxa" w:w="24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Subexpresada</w:t>
            </w:r>
          </w:p>
        </w:tc>
      </w:tr>
      <w:tr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MYLPF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Q96A32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-5.291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9.32e-4</w:t>
            </w:r>
          </w:p>
        </w:tc>
        <w:tc>
          <w:tcPr>
            <w:tcW w:type="dxa" w:w="24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Subexpresada</w:t>
            </w:r>
          </w:p>
        </w:tc>
      </w:tr>
      <w:tr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HSPB6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O14558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-4.923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3.3e-4</w:t>
            </w:r>
          </w:p>
        </w:tc>
        <w:tc>
          <w:tcPr>
            <w:tcW w:type="dxa" w:w="24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Subexpresada</w:t>
            </w:r>
          </w:p>
        </w:tc>
      </w:tr>
      <w:tr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MYL2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P10916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-4.907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0.00177</w:t>
            </w:r>
          </w:p>
        </w:tc>
        <w:tc>
          <w:tcPr>
            <w:tcW w:type="dxa" w:w="24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Subexpresada</w:t>
            </w:r>
          </w:p>
        </w:tc>
      </w:tr>
      <w:tr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CASQ1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P31415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-4.84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0.00362</w:t>
            </w:r>
          </w:p>
        </w:tc>
        <w:tc>
          <w:tcPr>
            <w:tcW w:type="dxa" w:w="24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Subexpresada</w:t>
            </w:r>
          </w:p>
        </w:tc>
      </w:tr>
      <w:tr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SYPL2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Q5VXT5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-4.724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0.00221</w:t>
            </w:r>
          </w:p>
        </w:tc>
        <w:tc>
          <w:tcPr>
            <w:tcW w:type="dxa" w:w="24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Subexpresada</w:t>
            </w:r>
          </w:p>
        </w:tc>
      </w:tr>
      <w:tr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FHL1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Q13642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-4.701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0.00394</w:t>
            </w:r>
          </w:p>
        </w:tc>
        <w:tc>
          <w:tcPr>
            <w:tcW w:type="dxa" w:w="24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Subexpresada</w:t>
            </w:r>
          </w:p>
        </w:tc>
      </w:tr>
      <w:tr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MYH2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Q9UKX2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-4.685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0.0035</w:t>
            </w:r>
          </w:p>
        </w:tc>
        <w:tc>
          <w:tcPr>
            <w:tcW w:type="dxa" w:w="24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Subexpresada</w:t>
            </w:r>
          </w:p>
        </w:tc>
      </w:tr>
      <w:tr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MYL3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P08590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-4.657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0.00256</w:t>
            </w:r>
          </w:p>
        </w:tc>
        <w:tc>
          <w:tcPr>
            <w:tcW w:type="dxa" w:w="24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Subexpresada</w:t>
            </w:r>
          </w:p>
        </w:tc>
      </w:tr>
      <w:tr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MYH7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P12883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-4.573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0.00397</w:t>
            </w:r>
          </w:p>
        </w:tc>
        <w:tc>
          <w:tcPr>
            <w:tcW w:type="dxa" w:w="24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Subexpresada</w:t>
            </w:r>
          </w:p>
        </w:tc>
      </w:tr>
      <w:tr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BPIFB1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Q8TDL5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-4.415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0.00256</w:t>
            </w:r>
          </w:p>
        </w:tc>
        <w:tc>
          <w:tcPr>
            <w:tcW w:type="dxa" w:w="24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Subexpresada</w:t>
            </w:r>
          </w:p>
        </w:tc>
      </w:tr>
      <w:tr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CRYAB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P02511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-4.342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0.00174</w:t>
            </w:r>
          </w:p>
        </w:tc>
        <w:tc>
          <w:tcPr>
            <w:tcW w:type="dxa" w:w="24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Subexpresada</w:t>
            </w:r>
          </w:p>
        </w:tc>
      </w:tr>
      <w:tr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LDB3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O75112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-4.268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0.0103</w:t>
            </w:r>
          </w:p>
        </w:tc>
        <w:tc>
          <w:tcPr>
            <w:tcW w:type="dxa" w:w="24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Subexpresada</w:t>
            </w:r>
          </w:p>
        </w:tc>
      </w:tr>
      <w:tr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BPIFA1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Q9NP55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-4.167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0.0255</w:t>
            </w:r>
          </w:p>
        </w:tc>
        <w:tc>
          <w:tcPr>
            <w:tcW w:type="dxa" w:w="24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Subexpresada</w:t>
            </w:r>
          </w:p>
        </w:tc>
      </w:tr>
      <w:tr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PYGM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P11217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-4.013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0.00219</w:t>
            </w:r>
          </w:p>
        </w:tc>
        <w:tc>
          <w:tcPr>
            <w:tcW w:type="dxa" w:w="24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Subexpresada</w:t>
            </w:r>
          </w:p>
        </w:tc>
      </w:tr>
      <w:tr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MYL1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P05976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-4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0.00412</w:t>
            </w:r>
          </w:p>
        </w:tc>
        <w:tc>
          <w:tcPr>
            <w:tcW w:type="dxa" w:w="24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Subexpresada</w:t>
            </w:r>
          </w:p>
        </w:tc>
      </w:tr>
      <w:tr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GPD1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P21695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-3.997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0.00177</w:t>
            </w:r>
          </w:p>
        </w:tc>
        <w:tc>
          <w:tcPr>
            <w:tcW w:type="dxa" w:w="24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Subexpresada</w:t>
            </w:r>
          </w:p>
        </w:tc>
      </w:tr>
      <w:tr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TCAP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O15273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-3.932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0.0192</w:t>
            </w:r>
          </w:p>
        </w:tc>
        <w:tc>
          <w:tcPr>
            <w:tcW w:type="dxa" w:w="24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Subexpresada</w:t>
            </w:r>
          </w:p>
        </w:tc>
      </w:tr>
      <w:tr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PADI2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Q9Y2J8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-3.859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0.00275</w:t>
            </w:r>
          </w:p>
        </w:tc>
        <w:tc>
          <w:tcPr>
            <w:tcW w:type="dxa" w:w="24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Subexpresada</w:t>
            </w:r>
          </w:p>
        </w:tc>
      </w:tr>
      <w:tr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ATP2A1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O14983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-3.756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0.00362</w:t>
            </w:r>
          </w:p>
        </w:tc>
        <w:tc>
          <w:tcPr>
            <w:tcW w:type="dxa" w:w="24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Subexpresada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Bdr>
          <w:bottom w:val="single" w:color="2E75B6" w:sz="10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Objetivo Específico 1 — Relacionar proteínas DE con fármacos</w:t>
      </w:r>
    </w:p>
    <w:p>
      <w:pPr>
        <w:pBdr>
          <w:left w:val="single" w:color="2E75B6" w:sz="12" w:space="6"/>
        </w:pBdr>
        <w:spacing w:after="160" w:before="6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Relacionar proteínas expresadas diferencialmente en cáncer escamocelular de cabeza y cuello con fármacos reportados en bases de datos públicas, utilizando herramientas bioinformáticas de reposicionamiento y análisis de conectividad.</w:t>
      </w:r>
    </w:p>
    <w:p>
      <w:pPr>
        <w:spacing w:after="60" w:before="100"/>
        <w:jc w:val="center"/>
      </w:pPr>
      <w:r>
        <w:drawing>
          <wp:inline distT="0" distB="0" distL="0" distR="0">
            <wp:extent cx="4895850" cy="3267075"/>
            <wp:effectExtent t="0" r="0" b="0" l="0"/>
            <wp:docPr id="1" name="OE1_FigA_drug_sources_bar.png" descr="OE1_FigA_drug_sources_bar.png" title="OE1_FigA_drug_sources_b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Figura 5. </w:t>
      </w:r>
      <w:r>
        <w:rPr>
          <w:rFonts w:ascii="Arial" w:cs="Arial" w:eastAsia="Arial" w:hAnsi="Arial"/>
          <w:i w:val="false"/>
          <w:iCs w:val="false"/>
          <w:color w:val="444444"/>
          <w:sz w:val="18"/>
          <w:szCs w:val="18"/>
        </w:rPr>
        <w:t xml:space="preserve">Número de fármacos candidatos identificados por cada base de datos consultada (DGIdb, OpenTargets, L2S2, ChEMBL). Ilustra la estrategia multi-fuente y la cobertura diferencial de cada recurso.</w:t>
      </w:r>
    </w:p>
    <w:p>
      <w:pPr>
        <w:spacing w:after="60" w:before="100"/>
        <w:jc w:val="center"/>
      </w:pPr>
      <w:r>
        <w:drawing>
          <wp:inline distT="0" distB="0" distL="0" distR="0">
            <wp:extent cx="4895850" cy="3267075"/>
            <wp:effectExtent t="0" r="0" b="0" l="0"/>
            <wp:docPr id="1" name="OE1_FigB_drug_phase_dist.png" descr="OE1_FigB_drug_phase_dist.png" title="OE1_FigB_drug_phase_d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Figura 6. </w:t>
      </w:r>
      <w:r>
        <w:rPr>
          <w:rFonts w:ascii="Arial" w:cs="Arial" w:eastAsia="Arial" w:hAnsi="Arial"/>
          <w:i w:val="false"/>
          <w:iCs w:val="false"/>
          <w:color w:val="444444"/>
          <w:sz w:val="18"/>
          <w:szCs w:val="18"/>
        </w:rPr>
        <w:t xml:space="preserve">Distribución de fases clínicas de los candidatos multi-fuente (n = 458; presentes en ≥2 bases de datos). El 75% son fármacos aprobados: 120 con Fase IV confirmada por ChEMBL (verde oscuro) y 222 aprobados identificados por DGIdb sin registro de fase en ChEMBL (verde claro). Esta distinción es importante: ambos grupos tienen perfil de seguridad establecido y son candidatos viables para reposicionamiento.</w:t>
      </w:r>
    </w:p>
    <w:p>
      <w:pPr>
        <w:spacing w:after="60" w:before="100"/>
        <w:jc w:val="center"/>
      </w:pPr>
      <w:r>
        <w:drawing>
          <wp:inline distT="0" distB="0" distL="0" distR="0">
            <wp:extent cx="5219700" cy="3848100"/>
            <wp:effectExtent t="0" r="0" b="0" l="0"/>
            <wp:docPr id="1" name="OE1_FigC_upset_sources.png" descr="OE1_FigC_upset_sources.png" title="OE1_FigC_upset_sourc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Figura 7. </w:t>
      </w:r>
      <w:r>
        <w:rPr>
          <w:rFonts w:ascii="Arial" w:cs="Arial" w:eastAsia="Arial" w:hAnsi="Arial"/>
          <w:i w:val="false"/>
          <w:iCs w:val="false"/>
          <w:color w:val="444444"/>
          <w:sz w:val="18"/>
          <w:szCs w:val="18"/>
        </w:rPr>
        <w:t xml:space="preserve">Diagrama UpSet de solapamiento entre las cuatro bases de datos consultadas. Los candidatos con respaldo en múltiples fuentes (intersección) representan la evidencia más convergente y constituyen el núcleo de mayor prioridad para OE2.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Tabla 3.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Resumen de la consulta a bases de datos farmacológicas</w:t>
      </w:r>
    </w:p>
    <w:tbl>
      <w:tblPr>
        <w:tblW w:type="dxa" w:w="100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900"/>
        <w:gridCol w:w="900"/>
        <w:gridCol w:w="1000"/>
        <w:gridCol w:w="900"/>
        <w:gridCol w:w="1100"/>
        <w:gridCol w:w="800"/>
        <w:gridCol w:w="666"/>
      </w:tblGrid>
      <w:tr>
        <w:trPr>
          <w:tblHeader/>
        </w:trPr>
        <w:tc>
          <w:tcPr>
            <w:tcW w:type="dxa" w:w="1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2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Genes DE consultados</w:t>
            </w:r>
          </w:p>
        </w:tc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Genes con hits</w:t>
            </w:r>
          </w:p>
        </w:tc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Fármacos/pert. únicos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Pares gen-fármaco</w:t>
            </w:r>
          </w:p>
        </w:tc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Criterio de filtro</w:t>
            </w:r>
          </w:p>
        </w:tc>
        <w:tc>
          <w:tcPr>
            <w:tcW w:type="dxa" w:w="11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Aprobados (Fase IV)</w:t>
            </w:r>
          </w:p>
        </w:tc>
        <w:tc>
          <w:tcPr>
            <w:tcW w:type="dxa" w:w="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Fase III</w:t>
            </w:r>
          </w:p>
        </w:tc>
      </w:tr>
      <w:tr>
        <w:tc>
          <w:tcPr>
            <w:tcW w:type="dxa" w:w="1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DGIdb v5</w:t>
            </w:r>
          </w:p>
        </w:tc>
        <w:tc>
          <w:tcPr>
            <w:tcW w:type="dxa" w:w="2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666</w:t>
            </w:r>
          </w:p>
        </w:tc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291</w:t>
            </w:r>
          </w:p>
        </w:tc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2697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3542</w:t>
            </w:r>
          </w:p>
        </w:tc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Cualquier interacción reportada</w:t>
            </w:r>
          </w:p>
        </w:tc>
        <w:tc>
          <w:tcPr>
            <w:tcW w:type="dxa" w:w="11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</w:t>
            </w:r>
          </w:p>
        </w:tc>
        <w:tc>
          <w:tcPr>
            <w:tcW w:type="dxa" w:w="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</w:t>
            </w:r>
          </w:p>
        </w:tc>
      </w:tr>
      <w:tr>
        <w:tc>
          <w:tcPr>
            <w:tcW w:type="dxa" w:w="1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ChEMBL 34</w:t>
            </w:r>
          </w:p>
        </w:tc>
        <w:tc>
          <w:tcPr>
            <w:tcW w:type="dxa" w:w="2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666</w:t>
            </w:r>
          </w:p>
        </w:tc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114</w:t>
            </w:r>
          </w:p>
        </w:tc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Fase clínica &gt;= 3 (Phase III o aprobado)</w:t>
            </w:r>
          </w:p>
        </w:tc>
        <w:tc>
          <w:tcPr>
            <w:tcW w:type="dxa" w:w="11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74</w:t>
            </w:r>
          </w:p>
        </w:tc>
        <w:tc>
          <w:tcPr>
            <w:tcW w:type="dxa" w:w="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</w:tr>
      <w:tr>
        <w:tc>
          <w:tcPr>
            <w:tcW w:type="dxa" w:w="1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 Targets</w:t>
            </w:r>
          </w:p>
        </w:tc>
        <w:tc>
          <w:tcPr>
            <w:tcW w:type="dxa" w:w="2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666</w:t>
            </w:r>
          </w:p>
        </w:tc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115</w:t>
            </w:r>
          </w:p>
        </w:tc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290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7236</w:t>
            </w:r>
          </w:p>
        </w:tc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Cualquier fármaco conocido para el gen</w:t>
            </w:r>
          </w:p>
        </w:tc>
        <w:tc>
          <w:tcPr>
            <w:tcW w:type="dxa" w:w="11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</w:t>
            </w:r>
          </w:p>
        </w:tc>
        <w:tc>
          <w:tcPr>
            <w:tcW w:type="dxa" w:w="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</w:t>
            </w:r>
          </w:p>
        </w:tc>
      </w:tr>
      <w:tr>
        <w:tc>
          <w:tcPr>
            <w:tcW w:type="dxa" w:w="1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L2S2</w:t>
            </w:r>
          </w:p>
        </w:tc>
        <w:tc>
          <w:tcPr>
            <w:tcW w:type="dxa" w:w="2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666</w:t>
            </w:r>
          </w:p>
        </w:tc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</w:t>
            </w:r>
          </w:p>
        </w:tc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1048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1048</w:t>
            </w:r>
          </w:p>
        </w:tc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Conectividad negativa (reversión de firma)</w:t>
            </w:r>
          </w:p>
        </w:tc>
        <w:tc>
          <w:tcPr>
            <w:tcW w:type="dxa" w:w="11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</w:t>
            </w:r>
          </w:p>
        </w:tc>
        <w:tc>
          <w:tcPr>
            <w:tcW w:type="dxa" w:w="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</w:t>
            </w:r>
          </w:p>
        </w:tc>
      </w:tr>
    </w:tbl>
    <w:p>
      <w:pPr>
        <w:spacing w:after="6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Tabla 4.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Top 30 candidatos farmacológicos por número de fuentes de respaldo</w:t>
      </w:r>
    </w:p>
    <w:p>
      <w:pPr>
        <w:spacing w:after="80" w:before="200"/>
        <w:jc w:val="center"/>
      </w:pPr>
      <w:r>
        <w:drawing>
          <wp:inline distT="0" distB="0" distL="0" distR="0">
            <wp:extent cx="5486400" cy="4801083"/>
            <wp:effectExtent t="0" r="0" b="0" l="0"/>
            <wp:docPr id="8" name="OE2_FigA_ppi_network" descr="OE2_FigA_ppi_network" title="OE2_FigA_ppi_net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801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9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2200"/>
        <w:gridCol w:w="1800"/>
        <w:gridCol w:w="1100"/>
        <w:gridCol w:w="1200"/>
        <w:gridCol w:w="766"/>
      </w:tblGrid>
      <w:tr>
        <w:trPr>
          <w:tblHeader/>
        </w:trPr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Fármaco</w:t>
            </w:r>
          </w:p>
        </w:tc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 fuentes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Fuentes</w:t>
            </w:r>
          </w:p>
        </w:tc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Fase clínica máx.</w:t>
            </w:r>
          </w:p>
        </w:tc>
        <w:tc>
          <w:tcPr>
            <w:tcW w:type="dxa" w:w="11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Indicación HNSCC</w:t>
            </w:r>
          </w:p>
        </w:tc>
        <w:tc>
          <w:tcPr>
            <w:tcW w:type="dxa" w:w="1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Indicación oncológica</w:t>
            </w:r>
          </w:p>
        </w:tc>
        <w:tc>
          <w:tcPr>
            <w:tcW w:type="dxa" w:w="7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ChEMBL ID</w:t>
            </w:r>
          </w:p>
        </w:tc>
      </w:tr>
      <w:tr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Afatinib</w:t>
            </w:r>
          </w:p>
        </w:tc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ChEMBL|DGIdb|L2S2|OpenTargets</w:t>
            </w:r>
          </w:p>
        </w:tc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11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1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7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CHEMBL2105712</w:t>
            </w:r>
          </w:p>
        </w:tc>
      </w:tr>
      <w:tr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Lapatinib</w:t>
            </w:r>
          </w:p>
        </w:tc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ChEMBL|DGIdb|L2S2|OpenTargets</w:t>
            </w:r>
          </w:p>
        </w:tc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11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7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CHEMBL1201179</w:t>
            </w:r>
          </w:p>
        </w:tc>
      </w:tr>
      <w:tr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Valproic Acid</w:t>
            </w:r>
          </w:p>
        </w:tc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ChEMBL|DGIdb|L2S2|OpenTargets</w:t>
            </w:r>
          </w:p>
        </w:tc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11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7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CHEMBL2105613</w:t>
            </w:r>
          </w:p>
        </w:tc>
      </w:tr>
      <w:tr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Gefitinib</w:t>
            </w:r>
          </w:p>
        </w:tc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ChEMBL|DGIdb|L2S2|OpenTargets</w:t>
            </w:r>
          </w:p>
        </w:tc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11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7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CHEMBL939</w:t>
            </w:r>
          </w:p>
        </w:tc>
      </w:tr>
      <w:tr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Azacitidine</w:t>
            </w:r>
          </w:p>
        </w:tc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ChEMBL|DGIdb|L2S2|OpenTargets</w:t>
            </w:r>
          </w:p>
        </w:tc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11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7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CHEMBL1489</w:t>
            </w:r>
          </w:p>
        </w:tc>
      </w:tr>
      <w:tr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Disulfiram</w:t>
            </w:r>
          </w:p>
        </w:tc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ChEMBL|DGIdb|L2S2|OpenTargets</w:t>
            </w:r>
          </w:p>
        </w:tc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11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7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CHEMBL964</w:t>
            </w:r>
          </w:p>
        </w:tc>
      </w:tr>
      <w:tr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Acetazolamide</w:t>
            </w:r>
          </w:p>
        </w:tc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ChEMBL|DGIdb|L2S2|OpenTargets</w:t>
            </w:r>
          </w:p>
        </w:tc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11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7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CHEMBL20</w:t>
            </w:r>
          </w:p>
        </w:tc>
      </w:tr>
      <w:tr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Decitabine</w:t>
            </w:r>
          </w:p>
        </w:tc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ChEMBL|DGIdb|L2S2|OpenTargets</w:t>
            </w:r>
          </w:p>
        </w:tc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11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7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CHEMBL1201129</w:t>
            </w:r>
          </w:p>
        </w:tc>
      </w:tr>
      <w:tr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Neratinib</w:t>
            </w:r>
          </w:p>
        </w:tc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ChEMBL|DGIdb|L2S2|OpenTargets</w:t>
            </w:r>
          </w:p>
        </w:tc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11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7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CHEMBL180022</w:t>
            </w:r>
          </w:p>
        </w:tc>
      </w:tr>
      <w:tr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Bivalirudin</w:t>
            </w:r>
          </w:p>
        </w:tc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ChEMBL|DGIdb|L2S2|OpenTargets</w:t>
            </w:r>
          </w:p>
        </w:tc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11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CHEMBL5314348</w:t>
            </w:r>
          </w:p>
        </w:tc>
      </w:tr>
      <w:tr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Brinzolamide</w:t>
            </w:r>
          </w:p>
        </w:tc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ChEMBL|DGIdb|L2S2|OpenTargets</w:t>
            </w:r>
          </w:p>
        </w:tc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11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CHEMBL220491</w:t>
            </w:r>
          </w:p>
        </w:tc>
      </w:tr>
      <w:tr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Dabigatran</w:t>
            </w:r>
          </w:p>
        </w:tc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ChEMBL|DGIdb|L2S2|OpenTargets</w:t>
            </w:r>
          </w:p>
        </w:tc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11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CHEMBL48361</w:t>
            </w:r>
          </w:p>
        </w:tc>
      </w:tr>
      <w:tr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Methazolamide</w:t>
            </w:r>
          </w:p>
        </w:tc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ChEMBL|DGIdb|L2S2|OpenTargets</w:t>
            </w:r>
          </w:p>
        </w:tc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11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CHEMBL19</w:t>
            </w:r>
          </w:p>
        </w:tc>
      </w:tr>
      <w:tr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Topiramate</w:t>
            </w:r>
          </w:p>
        </w:tc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ChEMBL|DGIdb|L2S2|OpenTargets</w:t>
            </w:r>
          </w:p>
        </w:tc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11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CHEMBL220492</w:t>
            </w:r>
          </w:p>
        </w:tc>
      </w:tr>
      <w:tr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Metformin</w:t>
            </w:r>
          </w:p>
        </w:tc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DGIdb|L2S2|OpenTargets</w:t>
            </w:r>
          </w:p>
        </w:tc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11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7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CHEMBL1431</w:t>
            </w:r>
          </w:p>
        </w:tc>
      </w:tr>
      <w:tr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Cetuximab</w:t>
            </w:r>
          </w:p>
        </w:tc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ChEMBL|DGIdb|OpenTargets</w:t>
            </w:r>
          </w:p>
        </w:tc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11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1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7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CHEMBL1201577</w:t>
            </w:r>
          </w:p>
        </w:tc>
      </w:tr>
      <w:tr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Dacomitinib Anhydrous</w:t>
            </w:r>
          </w:p>
        </w:tc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ChEMBL|DGIdb|OpenTargets</w:t>
            </w:r>
          </w:p>
        </w:tc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11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7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CHEMBL2110732</w:t>
            </w:r>
          </w:p>
        </w:tc>
      </w:tr>
      <w:tr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Erlotinib</w:t>
            </w:r>
          </w:p>
        </w:tc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DGIdb|L2S2|OpenTargets</w:t>
            </w:r>
          </w:p>
        </w:tc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11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7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CHEMBL553</w:t>
            </w:r>
          </w:p>
        </w:tc>
      </w:tr>
      <w:tr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Nimotuzumab</w:t>
            </w:r>
          </w:p>
        </w:tc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ChEMBL|DGIdb|OpenTargets</w:t>
            </w:r>
          </w:p>
        </w:tc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11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7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CHEMBL2108359</w:t>
            </w:r>
          </w:p>
        </w:tc>
      </w:tr>
      <w:tr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Panitumumab</w:t>
            </w:r>
          </w:p>
        </w:tc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ChEMBL|DGIdb|OpenTargets</w:t>
            </w:r>
          </w:p>
        </w:tc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11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7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CHEMBL1201827</w:t>
            </w:r>
          </w:p>
        </w:tc>
      </w:tr>
      <w:tr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Carfilzomib</w:t>
            </w:r>
          </w:p>
        </w:tc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DGIdb|L2S2|OpenTargets</w:t>
            </w:r>
          </w:p>
        </w:tc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11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7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CHEMBL451887</w:t>
            </w:r>
          </w:p>
        </w:tc>
      </w:tr>
      <w:tr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Thioguanine</w:t>
            </w:r>
          </w:p>
        </w:tc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DGIdb|L2S2|OpenTargets</w:t>
            </w:r>
          </w:p>
        </w:tc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11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7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CHEMBL727</w:t>
            </w:r>
          </w:p>
        </w:tc>
      </w:tr>
      <w:tr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Brigatinib</w:t>
            </w:r>
          </w:p>
        </w:tc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ChEMBL|DGIdb|OpenTargets</w:t>
            </w:r>
          </w:p>
        </w:tc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11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7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CHEMBL3545311</w:t>
            </w:r>
          </w:p>
        </w:tc>
      </w:tr>
      <w:tr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Crizotinib</w:t>
            </w:r>
          </w:p>
        </w:tc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DGIdb|L2S2|OpenTargets</w:t>
            </w:r>
          </w:p>
        </w:tc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11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7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CHEMBL601719</w:t>
            </w:r>
          </w:p>
        </w:tc>
      </w:tr>
      <w:tr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Erlotinib Hydrochloride</w:t>
            </w:r>
          </w:p>
        </w:tc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ChEMBL|DGIdb|OpenTargets</w:t>
            </w:r>
          </w:p>
        </w:tc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11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7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CHEMBL1079742</w:t>
            </w:r>
          </w:p>
        </w:tc>
      </w:tr>
      <w:tr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Pentoxifylline</w:t>
            </w:r>
          </w:p>
        </w:tc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DGIdb|L2S2|OpenTargets</w:t>
            </w:r>
          </w:p>
        </w:tc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11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7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CHEMBL628</w:t>
            </w:r>
          </w:p>
        </w:tc>
      </w:tr>
      <w:tr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Amivantamab</w:t>
            </w:r>
          </w:p>
        </w:tc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ChEMBL|DGIdb|OpenTargets</w:t>
            </w:r>
          </w:p>
        </w:tc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11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7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CHEMBL4297774</w:t>
            </w:r>
          </w:p>
        </w:tc>
      </w:tr>
      <w:tr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Aumolertinib</w:t>
            </w:r>
          </w:p>
        </w:tc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ChEMBL|DGIdb|OpenTargets</w:t>
            </w:r>
          </w:p>
        </w:tc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11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7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CHEMBL4761468</w:t>
            </w:r>
          </w:p>
        </w:tc>
      </w:tr>
      <w:tr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Cedazuridine</w:t>
            </w:r>
          </w:p>
        </w:tc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ChEMBL|DGIdb|OpenTargets</w:t>
            </w:r>
          </w:p>
        </w:tc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11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7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CHEMBL3237547</w:t>
            </w:r>
          </w:p>
        </w:tc>
      </w:tr>
      <w:tr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Dacomitinib</w:t>
            </w:r>
          </w:p>
        </w:tc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ChEMBL|L2S2|OpenTargets</w:t>
            </w:r>
          </w:p>
        </w:tc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11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7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CHEMBL2105719</w:t>
            </w:r>
          </w:p>
        </w:tc>
      </w:tr>
    </w:tbl>
    <w:p>
      <w:pPr>
        <w:spacing w:after="60" w:before="60"/>
      </w:pPr>
    </w:p>
    <w:p>
      <w:pPr>
        <w:pBdr>
          <w:bottom w:val="single" w:color="B0C8E0" w:sz="6" w:space="3"/>
        </w:pBdr>
        <w:spacing w:after="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Objetivo Específico 2 — Priorizar candidatos mediante análisis multi-criterio</w:t>
      </w:r>
    </w:p>
    <w:p>
      <w:pPr>
        <w:spacing w:after="60" w:before="60"/>
      </w:pPr>
    </w:p>
    <w:p>
      <w:pPr>
        <w:spacing w:after="120" w:before="120"/>
        <w:ind w:left="72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Priorizar los fármacos candidatos mediante una puntuación compuesta (composite score) que integra señal protéomica, conectividad transcriptómica, relevancia de vías, centralidad en redes PPI y fase clínica, validando la robustez del ranking mediante análisis de sensibilidad por nivel de detección (LOD).</w:t>
      </w:r>
    </w:p>
    <w:p>
      <w:pPr>
        <w:spacing w:after="60" w:before="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Tabla 5.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Candidatos EGFR LOD-stable — validación del método (n = 26)</w:t>
      </w:r>
    </w:p>
    <w:tbl>
      <w:tblPr>
        <w:tblW w:type="dxa" w:w="99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800"/>
        <w:gridCol w:w="1700"/>
        <w:gridCol w:w="1000"/>
        <w:gridCol w:w="900"/>
        <w:gridCol w:w="766"/>
      </w:tblGrid>
      <w:tr>
        <w:trPr>
          <w:tblHeader/>
        </w:trPr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Fármaco</w:t>
            </w:r>
          </w:p>
        </w:tc>
        <w:tc>
          <w:tcPr>
            <w:tcW w:type="dxa" w:w="2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Subclase</w:t>
            </w:r>
          </w:p>
        </w:tc>
        <w:tc>
          <w:tcPr>
            <w:tcW w:type="dxa" w:w="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 primario</w:t>
            </w:r>
          </w:p>
        </w:tc>
        <w:tc>
          <w:tcPr>
            <w:tcW w:type="dxa" w:w="17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Fase clínica máx.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Aprobado HNSCC</w:t>
            </w:r>
          </w:p>
        </w:tc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Composite score</w:t>
            </w:r>
          </w:p>
        </w:tc>
        <w:tc>
          <w:tcPr>
            <w:tcW w:type="dxa" w:w="7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 fuentes</w:t>
            </w:r>
          </w:p>
        </w:tc>
      </w:tr>
      <w:tr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Amivantamab</w:t>
            </w:r>
          </w:p>
        </w:tc>
        <w:tc>
          <w:tcPr>
            <w:tcW w:type="dxa" w:w="2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Anticuerpo/ADC anti-EGFR</w:t>
            </w:r>
          </w:p>
        </w:tc>
        <w:tc>
          <w:tcPr>
            <w:tcW w:type="dxa" w:w="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EGFR</w:t>
            </w:r>
          </w:p>
        </w:tc>
        <w:tc>
          <w:tcPr>
            <w:tcW w:type="dxa" w:w="17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0.706</w:t>
            </w:r>
          </w:p>
        </w:tc>
        <w:tc>
          <w:tcPr>
            <w:tcW w:type="dxa" w:w="7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Cetuximab</w:t>
            </w:r>
          </w:p>
        </w:tc>
        <w:tc>
          <w:tcPr>
            <w:tcW w:type="dxa" w:w="2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Anticuerpo/ADC anti-EGFR</w:t>
            </w:r>
          </w:p>
        </w:tc>
        <w:tc>
          <w:tcPr>
            <w:tcW w:type="dxa" w:w="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EGFR</w:t>
            </w:r>
          </w:p>
        </w:tc>
        <w:tc>
          <w:tcPr>
            <w:tcW w:type="dxa" w:w="17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0.706</w:t>
            </w:r>
          </w:p>
        </w:tc>
        <w:tc>
          <w:tcPr>
            <w:tcW w:type="dxa" w:w="7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Cetuximab Sarotalocan</w:t>
            </w:r>
          </w:p>
        </w:tc>
        <w:tc>
          <w:tcPr>
            <w:tcW w:type="dxa" w:w="2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Anticuerpo/ADC anti-EGFR</w:t>
            </w:r>
          </w:p>
        </w:tc>
        <w:tc>
          <w:tcPr>
            <w:tcW w:type="dxa" w:w="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EGFR</w:t>
            </w:r>
          </w:p>
        </w:tc>
        <w:tc>
          <w:tcPr>
            <w:tcW w:type="dxa" w:w="17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0.706</w:t>
            </w:r>
          </w:p>
        </w:tc>
        <w:tc>
          <w:tcPr>
            <w:tcW w:type="dxa" w:w="7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Necitumumab</w:t>
            </w:r>
          </w:p>
        </w:tc>
        <w:tc>
          <w:tcPr>
            <w:tcW w:type="dxa" w:w="2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Anticuerpo/ADC anti-EGFR</w:t>
            </w:r>
          </w:p>
        </w:tc>
        <w:tc>
          <w:tcPr>
            <w:tcW w:type="dxa" w:w="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EGFR</w:t>
            </w:r>
          </w:p>
        </w:tc>
        <w:tc>
          <w:tcPr>
            <w:tcW w:type="dxa" w:w="17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0.706</w:t>
            </w:r>
          </w:p>
        </w:tc>
        <w:tc>
          <w:tcPr>
            <w:tcW w:type="dxa" w:w="7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Nimotuzumab</w:t>
            </w:r>
          </w:p>
        </w:tc>
        <w:tc>
          <w:tcPr>
            <w:tcW w:type="dxa" w:w="2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Anticuerpo/ADC anti-EGFR</w:t>
            </w:r>
          </w:p>
        </w:tc>
        <w:tc>
          <w:tcPr>
            <w:tcW w:type="dxa" w:w="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EGFR</w:t>
            </w:r>
          </w:p>
        </w:tc>
        <w:tc>
          <w:tcPr>
            <w:tcW w:type="dxa" w:w="17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0.706</w:t>
            </w:r>
          </w:p>
        </w:tc>
        <w:tc>
          <w:tcPr>
            <w:tcW w:type="dxa" w:w="7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Panitumumab</w:t>
            </w:r>
          </w:p>
        </w:tc>
        <w:tc>
          <w:tcPr>
            <w:tcW w:type="dxa" w:w="2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Anticuerpo/ADC anti-EGFR</w:t>
            </w:r>
          </w:p>
        </w:tc>
        <w:tc>
          <w:tcPr>
            <w:tcW w:type="dxa" w:w="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EGFR</w:t>
            </w:r>
          </w:p>
        </w:tc>
        <w:tc>
          <w:tcPr>
            <w:tcW w:type="dxa" w:w="17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0.706</w:t>
            </w:r>
          </w:p>
        </w:tc>
        <w:tc>
          <w:tcPr>
            <w:tcW w:type="dxa" w:w="7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Depatuxizumab Mafodotin</w:t>
            </w:r>
          </w:p>
        </w:tc>
        <w:tc>
          <w:tcPr>
            <w:tcW w:type="dxa" w:w="2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Anticuerpo/ADC anti-EGFR</w:t>
            </w:r>
          </w:p>
        </w:tc>
        <w:tc>
          <w:tcPr>
            <w:tcW w:type="dxa" w:w="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EGFR</w:t>
            </w:r>
          </w:p>
        </w:tc>
        <w:tc>
          <w:tcPr>
            <w:tcW w:type="dxa" w:w="17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Fase III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0.656</w:t>
            </w:r>
          </w:p>
        </w:tc>
        <w:tc>
          <w:tcPr>
            <w:tcW w:type="dxa" w:w="7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Vandetanib</w:t>
            </w:r>
          </w:p>
        </w:tc>
        <w:tc>
          <w:tcPr>
            <w:tcW w:type="dxa" w:w="2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Inhibidor multi-quinasa (EGFR+)</w:t>
            </w:r>
          </w:p>
        </w:tc>
        <w:tc>
          <w:tcPr>
            <w:tcW w:type="dxa" w:w="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EGFR</w:t>
            </w:r>
          </w:p>
        </w:tc>
        <w:tc>
          <w:tcPr>
            <w:tcW w:type="dxa" w:w="17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0.754</w:t>
            </w:r>
          </w:p>
        </w:tc>
        <w:tc>
          <w:tcPr>
            <w:tcW w:type="dxa" w:w="7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Crizotinib</w:t>
            </w:r>
          </w:p>
        </w:tc>
        <w:tc>
          <w:tcPr>
            <w:tcW w:type="dxa" w:w="2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Inhibidor multi-quinasa (EGFR+)</w:t>
            </w:r>
          </w:p>
        </w:tc>
        <w:tc>
          <w:tcPr>
            <w:tcW w:type="dxa" w:w="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EGFR</w:t>
            </w:r>
          </w:p>
        </w:tc>
        <w:tc>
          <w:tcPr>
            <w:tcW w:type="dxa" w:w="17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0.675</w:t>
            </w:r>
          </w:p>
        </w:tc>
        <w:tc>
          <w:tcPr>
            <w:tcW w:type="dxa" w:w="7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Metformin</w:t>
            </w:r>
          </w:p>
        </w:tc>
        <w:tc>
          <w:tcPr>
            <w:tcW w:type="dxa" w:w="2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Inhibidor multi-quinasa (EGFR+)</w:t>
            </w:r>
          </w:p>
        </w:tc>
        <w:tc>
          <w:tcPr>
            <w:tcW w:type="dxa" w:w="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EGFR</w:t>
            </w:r>
          </w:p>
        </w:tc>
        <w:tc>
          <w:tcPr>
            <w:tcW w:type="dxa" w:w="17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0.658</w:t>
            </w:r>
          </w:p>
        </w:tc>
        <w:tc>
          <w:tcPr>
            <w:tcW w:type="dxa" w:w="7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Gefitinib</w:t>
            </w:r>
          </w:p>
        </w:tc>
        <w:tc>
          <w:tcPr>
            <w:tcW w:type="dxa" w:w="2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TKI EGFR 1ª-2ª generación</w:t>
            </w:r>
          </w:p>
        </w:tc>
        <w:tc>
          <w:tcPr>
            <w:tcW w:type="dxa" w:w="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EGFR</w:t>
            </w:r>
          </w:p>
        </w:tc>
        <w:tc>
          <w:tcPr>
            <w:tcW w:type="dxa" w:w="17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0.777</w:t>
            </w:r>
          </w:p>
        </w:tc>
        <w:tc>
          <w:tcPr>
            <w:tcW w:type="dxa" w:w="7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Erlotinib</w:t>
            </w:r>
          </w:p>
        </w:tc>
        <w:tc>
          <w:tcPr>
            <w:tcW w:type="dxa" w:w="2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TKI EGFR 1ª-2ª generación</w:t>
            </w:r>
          </w:p>
        </w:tc>
        <w:tc>
          <w:tcPr>
            <w:tcW w:type="dxa" w:w="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EGFR</w:t>
            </w:r>
          </w:p>
        </w:tc>
        <w:tc>
          <w:tcPr>
            <w:tcW w:type="dxa" w:w="17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0.772</w:t>
            </w:r>
          </w:p>
        </w:tc>
        <w:tc>
          <w:tcPr>
            <w:tcW w:type="dxa" w:w="7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Neratinib</w:t>
            </w:r>
          </w:p>
        </w:tc>
        <w:tc>
          <w:tcPr>
            <w:tcW w:type="dxa" w:w="2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TKI EGFR 1ª-2ª generación</w:t>
            </w:r>
          </w:p>
        </w:tc>
        <w:tc>
          <w:tcPr>
            <w:tcW w:type="dxa" w:w="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EGFR</w:t>
            </w:r>
          </w:p>
        </w:tc>
        <w:tc>
          <w:tcPr>
            <w:tcW w:type="dxa" w:w="17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0.753</w:t>
            </w:r>
          </w:p>
        </w:tc>
        <w:tc>
          <w:tcPr>
            <w:tcW w:type="dxa" w:w="7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Dacomitinib</w:t>
            </w:r>
          </w:p>
        </w:tc>
        <w:tc>
          <w:tcPr>
            <w:tcW w:type="dxa" w:w="2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TKI EGFR 1ª-2ª generación</w:t>
            </w:r>
          </w:p>
        </w:tc>
        <w:tc>
          <w:tcPr>
            <w:tcW w:type="dxa" w:w="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EGFR</w:t>
            </w:r>
          </w:p>
        </w:tc>
        <w:tc>
          <w:tcPr>
            <w:tcW w:type="dxa" w:w="17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0.739</w:t>
            </w:r>
          </w:p>
        </w:tc>
        <w:tc>
          <w:tcPr>
            <w:tcW w:type="dxa" w:w="7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Icotinib</w:t>
            </w:r>
          </w:p>
        </w:tc>
        <w:tc>
          <w:tcPr>
            <w:tcW w:type="dxa" w:w="2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TKI EGFR 1ª-2ª generación</w:t>
            </w:r>
          </w:p>
        </w:tc>
        <w:tc>
          <w:tcPr>
            <w:tcW w:type="dxa" w:w="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EGFR</w:t>
            </w:r>
          </w:p>
        </w:tc>
        <w:tc>
          <w:tcPr>
            <w:tcW w:type="dxa" w:w="17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0.706</w:t>
            </w:r>
          </w:p>
        </w:tc>
        <w:tc>
          <w:tcPr>
            <w:tcW w:type="dxa" w:w="7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Afatinib</w:t>
            </w:r>
          </w:p>
        </w:tc>
        <w:tc>
          <w:tcPr>
            <w:tcW w:type="dxa" w:w="2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TKI EGFR 1ª-2ª generación</w:t>
            </w:r>
          </w:p>
        </w:tc>
        <w:tc>
          <w:tcPr>
            <w:tcW w:type="dxa" w:w="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EGFR</w:t>
            </w:r>
          </w:p>
        </w:tc>
        <w:tc>
          <w:tcPr>
            <w:tcW w:type="dxa" w:w="17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0.671</w:t>
            </w:r>
          </w:p>
        </w:tc>
        <w:tc>
          <w:tcPr>
            <w:tcW w:type="dxa" w:w="7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Lapatinib</w:t>
            </w:r>
          </w:p>
        </w:tc>
        <w:tc>
          <w:tcPr>
            <w:tcW w:type="dxa" w:w="2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TKI EGFR 1ª-2ª generación</w:t>
            </w:r>
          </w:p>
        </w:tc>
        <w:tc>
          <w:tcPr>
            <w:tcW w:type="dxa" w:w="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EGFR</w:t>
            </w:r>
          </w:p>
        </w:tc>
        <w:tc>
          <w:tcPr>
            <w:tcW w:type="dxa" w:w="17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0.67</w:t>
            </w:r>
          </w:p>
        </w:tc>
        <w:tc>
          <w:tcPr>
            <w:tcW w:type="dxa" w:w="7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Canertinib Dihydrochloride</w:t>
            </w:r>
          </w:p>
        </w:tc>
        <w:tc>
          <w:tcPr>
            <w:tcW w:type="dxa" w:w="2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TKI EGFR 1ª-2ª generación</w:t>
            </w:r>
          </w:p>
        </w:tc>
        <w:tc>
          <w:tcPr>
            <w:tcW w:type="dxa" w:w="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EGFR</w:t>
            </w:r>
          </w:p>
        </w:tc>
        <w:tc>
          <w:tcPr>
            <w:tcW w:type="dxa" w:w="17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Fase III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0.656</w:t>
            </w:r>
          </w:p>
        </w:tc>
        <w:tc>
          <w:tcPr>
            <w:tcW w:type="dxa" w:w="7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Aumolertinib</w:t>
            </w:r>
          </w:p>
        </w:tc>
        <w:tc>
          <w:tcPr>
            <w:tcW w:type="dxa" w:w="2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TKI EGFR 3ª generación</w:t>
            </w:r>
          </w:p>
        </w:tc>
        <w:tc>
          <w:tcPr>
            <w:tcW w:type="dxa" w:w="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EGFR</w:t>
            </w:r>
          </w:p>
        </w:tc>
        <w:tc>
          <w:tcPr>
            <w:tcW w:type="dxa" w:w="17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0.706</w:t>
            </w:r>
          </w:p>
        </w:tc>
        <w:tc>
          <w:tcPr>
            <w:tcW w:type="dxa" w:w="7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Lazertinib</w:t>
            </w:r>
          </w:p>
        </w:tc>
        <w:tc>
          <w:tcPr>
            <w:tcW w:type="dxa" w:w="2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TKI EGFR 3ª generación</w:t>
            </w:r>
          </w:p>
        </w:tc>
        <w:tc>
          <w:tcPr>
            <w:tcW w:type="dxa" w:w="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EGFR</w:t>
            </w:r>
          </w:p>
        </w:tc>
        <w:tc>
          <w:tcPr>
            <w:tcW w:type="dxa" w:w="17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0.706</w:t>
            </w:r>
          </w:p>
        </w:tc>
        <w:tc>
          <w:tcPr>
            <w:tcW w:type="dxa" w:w="7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Mobocertinib</w:t>
            </w:r>
          </w:p>
        </w:tc>
        <w:tc>
          <w:tcPr>
            <w:tcW w:type="dxa" w:w="2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TKI EGFR 3ª generación</w:t>
            </w:r>
          </w:p>
        </w:tc>
        <w:tc>
          <w:tcPr>
            <w:tcW w:type="dxa" w:w="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EGFR</w:t>
            </w:r>
          </w:p>
        </w:tc>
        <w:tc>
          <w:tcPr>
            <w:tcW w:type="dxa" w:w="17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0.706</w:t>
            </w:r>
          </w:p>
        </w:tc>
        <w:tc>
          <w:tcPr>
            <w:tcW w:type="dxa" w:w="7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Olmutinib</w:t>
            </w:r>
          </w:p>
        </w:tc>
        <w:tc>
          <w:tcPr>
            <w:tcW w:type="dxa" w:w="2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TKI EGFR 3ª generación</w:t>
            </w:r>
          </w:p>
        </w:tc>
        <w:tc>
          <w:tcPr>
            <w:tcW w:type="dxa" w:w="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EGFR</w:t>
            </w:r>
          </w:p>
        </w:tc>
        <w:tc>
          <w:tcPr>
            <w:tcW w:type="dxa" w:w="17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0.706</w:t>
            </w:r>
          </w:p>
        </w:tc>
        <w:tc>
          <w:tcPr>
            <w:tcW w:type="dxa" w:w="7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Osimertinib</w:t>
            </w:r>
          </w:p>
        </w:tc>
        <w:tc>
          <w:tcPr>
            <w:tcW w:type="dxa" w:w="2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TKI EGFR 3ª generación</w:t>
            </w:r>
          </w:p>
        </w:tc>
        <w:tc>
          <w:tcPr>
            <w:tcW w:type="dxa" w:w="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EGFR</w:t>
            </w:r>
          </w:p>
        </w:tc>
        <w:tc>
          <w:tcPr>
            <w:tcW w:type="dxa" w:w="17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0.706</w:t>
            </w:r>
          </w:p>
        </w:tc>
        <w:tc>
          <w:tcPr>
            <w:tcW w:type="dxa" w:w="7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Rociletinib</w:t>
            </w:r>
          </w:p>
        </w:tc>
        <w:tc>
          <w:tcPr>
            <w:tcW w:type="dxa" w:w="2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TKI EGFR 3ª generación</w:t>
            </w:r>
          </w:p>
        </w:tc>
        <w:tc>
          <w:tcPr>
            <w:tcW w:type="dxa" w:w="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EGFR</w:t>
            </w:r>
          </w:p>
        </w:tc>
        <w:tc>
          <w:tcPr>
            <w:tcW w:type="dxa" w:w="17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0.706</w:t>
            </w:r>
          </w:p>
        </w:tc>
        <w:tc>
          <w:tcPr>
            <w:tcW w:type="dxa" w:w="7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Abivertinib</w:t>
            </w:r>
          </w:p>
        </w:tc>
        <w:tc>
          <w:tcPr>
            <w:tcW w:type="dxa" w:w="2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TKI EGFR 3ª generación</w:t>
            </w:r>
          </w:p>
        </w:tc>
        <w:tc>
          <w:tcPr>
            <w:tcW w:type="dxa" w:w="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EGFR</w:t>
            </w:r>
          </w:p>
        </w:tc>
        <w:tc>
          <w:tcPr>
            <w:tcW w:type="dxa" w:w="17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Fase III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0.656</w:t>
            </w:r>
          </w:p>
        </w:tc>
        <w:tc>
          <w:tcPr>
            <w:tcW w:type="dxa" w:w="7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Firmonertinib</w:t>
            </w:r>
          </w:p>
        </w:tc>
        <w:tc>
          <w:tcPr>
            <w:tcW w:type="dxa" w:w="2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TKI EGFR 3ª generación</w:t>
            </w:r>
          </w:p>
        </w:tc>
        <w:tc>
          <w:tcPr>
            <w:tcW w:type="dxa" w:w="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EGFR</w:t>
            </w:r>
          </w:p>
        </w:tc>
        <w:tc>
          <w:tcPr>
            <w:tcW w:type="dxa" w:w="17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Fase III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0.656</w:t>
            </w:r>
          </w:p>
        </w:tc>
        <w:tc>
          <w:tcPr>
            <w:tcW w:type="dxa" w:w="7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</w:tbl>
    <w:p>
      <w:pPr>
        <w:spacing w:after="80" w:before="200"/>
        <w:jc w:val="center"/>
      </w:pPr>
      <w:r>
        <w:drawing>
          <wp:inline distT="0" distB="0" distL="0" distR="0">
            <wp:extent cx="5486400" cy="3658460"/>
            <wp:effectExtent t="0" r="0" b="0" l="0"/>
            <wp:docPr id="9" name="OE2_FigB_module_barplot" descr="OE2_FigB_module_barplot" title="OE2_FigB_module_bar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  <w:jc w:val="center"/>
      </w:pPr>
      <w:r>
        <w:drawing>
          <wp:inline distT="0" distB="0" distL="0" distR="0">
            <wp:extent cx="5486400" cy="3963117"/>
            <wp:effectExtent t="0" r="0" b="0" l="0"/>
            <wp:docPr id="10" name="OE2_FigC_class_distribution" descr="OE2_FigC_class_distribution" title="OE2_FigC_class_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6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Tabla 5. Fármacos dirigidos al eje EGFR/ErbB que permanecen en el top del ranking en las cuatro variaciones de umbral LOD testadas. La dominancia de este eje es consistente con la biología establecida de HNSCC y valida el enfoque no supervisado del pipeline. ‘Aprobado HNSCC’ indica aprobación regulatoria FDA/EMA específica para HNSCC (no off-label ni solo evidencia de ensayos clínicos).</w:t>
      </w:r>
    </w:p>
    <w:p>
      <w:pPr>
        <w:spacing w:after="60" w:before="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Tabla 6.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Candidatos no-EGFR LOD-stable — oportunidades de reposicionamiento (n = 6)</w:t>
      </w:r>
    </w:p>
    <w:tbl>
      <w:tblPr>
        <w:tblW w:type="dxa" w:w="99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800"/>
        <w:gridCol w:w="1800"/>
        <w:gridCol w:w="1300"/>
        <w:gridCol w:w="666"/>
        <w:gridCol w:w="800"/>
        <w:gridCol w:w="800"/>
      </w:tblGrid>
      <w:tr>
        <w:trPr>
          <w:tblHeader/>
        </w:trPr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Fármaco</w:t>
            </w:r>
          </w:p>
        </w:tc>
        <w:tc>
          <w:tcPr>
            <w:tcW w:type="dxa" w:w="23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Mecanismo</w:t>
            </w:r>
          </w:p>
        </w:tc>
        <w:tc>
          <w:tcPr>
            <w:tcW w:type="dxa" w:w="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 primario</w:t>
            </w:r>
          </w:p>
        </w:tc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Indicación actual</w:t>
            </w:r>
          </w:p>
        </w:tc>
        <w:tc>
          <w:tcPr>
            <w:tcW w:type="dxa" w:w="13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Fase clínica máx.</w:t>
            </w:r>
          </w:p>
        </w:tc>
        <w:tc>
          <w:tcPr>
            <w:tcW w:type="dxa" w:w="6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CMap score</w:t>
            </w:r>
          </w:p>
        </w:tc>
        <w:tc>
          <w:tcPr>
            <w:tcW w:type="dxa" w:w="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Composite score</w:t>
            </w:r>
          </w:p>
        </w:tc>
        <w:tc>
          <w:tcPr>
            <w:tcW w:type="dxa" w:w="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 fuentes</w:t>
            </w:r>
          </w:p>
        </w:tc>
      </w:tr>
      <w:tr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Decitabine</w:t>
            </w:r>
          </w:p>
        </w:tc>
        <w:tc>
          <w:tcPr>
            <w:tcW w:type="dxa" w:w="23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Inhibidor DNMT</w:t>
            </w:r>
          </w:p>
        </w:tc>
        <w:tc>
          <w:tcPr>
            <w:tcW w:type="dxa" w:w="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DNMT1</w:t>
            </w:r>
          </w:p>
        </w:tc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Síndrome mielodisplásico / LMA</w:t>
            </w:r>
          </w:p>
        </w:tc>
        <w:tc>
          <w:tcPr>
            <w:tcW w:type="dxa" w:w="13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6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-0.414</w:t>
            </w:r>
          </w:p>
        </w:tc>
        <w:tc>
          <w:tcPr>
            <w:tcW w:type="dxa" w:w="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0.715</w:t>
            </w:r>
          </w:p>
        </w:tc>
        <w:tc>
          <w:tcPr>
            <w:tcW w:type="dxa" w:w="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Azacitidine</w:t>
            </w:r>
          </w:p>
        </w:tc>
        <w:tc>
          <w:tcPr>
            <w:tcW w:type="dxa" w:w="23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Inhibidor DNMT</w:t>
            </w:r>
          </w:p>
        </w:tc>
        <w:tc>
          <w:tcPr>
            <w:tcW w:type="dxa" w:w="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ALDH1A1</w:t>
            </w:r>
          </w:p>
        </w:tc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Síndrome mielodisplásico / LMA</w:t>
            </w:r>
          </w:p>
        </w:tc>
        <w:tc>
          <w:tcPr>
            <w:tcW w:type="dxa" w:w="13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6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-0.488</w:t>
            </w:r>
          </w:p>
        </w:tc>
        <w:tc>
          <w:tcPr>
            <w:tcW w:type="dxa" w:w="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0.669</w:t>
            </w:r>
          </w:p>
        </w:tc>
        <w:tc>
          <w:tcPr>
            <w:tcW w:type="dxa" w:w="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Cedazuridine</w:t>
            </w:r>
          </w:p>
        </w:tc>
        <w:tc>
          <w:tcPr>
            <w:tcW w:type="dxa" w:w="23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Inhibidor desaminasa de citidina (potenciador DNMT)</w:t>
            </w:r>
          </w:p>
        </w:tc>
        <w:tc>
          <w:tcPr>
            <w:tcW w:type="dxa" w:w="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CDA</w:t>
            </w:r>
          </w:p>
        </w:tc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Síndrome mielodisplásico (combinado con decitabine)</w:t>
            </w:r>
          </w:p>
        </w:tc>
        <w:tc>
          <w:tcPr>
            <w:tcW w:type="dxa" w:w="13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6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</w:t>
            </w:r>
          </w:p>
        </w:tc>
        <w:tc>
          <w:tcPr>
            <w:tcW w:type="dxa" w:w="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0.662</w:t>
            </w:r>
          </w:p>
        </w:tc>
        <w:tc>
          <w:tcPr>
            <w:tcW w:type="dxa" w:w="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Carfilzomib</w:t>
            </w:r>
          </w:p>
        </w:tc>
        <w:tc>
          <w:tcPr>
            <w:tcW w:type="dxa" w:w="23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Inhibidor de proteasoma</w:t>
            </w:r>
          </w:p>
        </w:tc>
        <w:tc>
          <w:tcPr>
            <w:tcW w:type="dxa" w:w="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PSMA1</w:t>
            </w:r>
          </w:p>
        </w:tc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Mieloma múltiple</w:t>
            </w:r>
          </w:p>
        </w:tc>
        <w:tc>
          <w:tcPr>
            <w:tcW w:type="dxa" w:w="13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6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-0.277</w:t>
            </w:r>
          </w:p>
        </w:tc>
        <w:tc>
          <w:tcPr>
            <w:tcW w:type="dxa" w:w="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0.649</w:t>
            </w:r>
          </w:p>
        </w:tc>
        <w:tc>
          <w:tcPr>
            <w:tcW w:type="dxa" w:w="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Mitapivat</w:t>
            </w:r>
          </w:p>
        </w:tc>
        <w:tc>
          <w:tcPr>
            <w:tcW w:type="dxa" w:w="23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Activador piruvato quinasa (PK-R)</w:t>
            </w:r>
          </w:p>
        </w:tc>
        <w:tc>
          <w:tcPr>
            <w:tcW w:type="dxa" w:w="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PKLR</w:t>
            </w:r>
          </w:p>
        </w:tc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Anemia hemolítica (deficiencia piruvato quinasa)</w:t>
            </w:r>
          </w:p>
        </w:tc>
        <w:tc>
          <w:tcPr>
            <w:tcW w:type="dxa" w:w="13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6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</w:t>
            </w:r>
          </w:p>
        </w:tc>
        <w:tc>
          <w:tcPr>
            <w:tcW w:type="dxa" w:w="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0.648</w:t>
            </w:r>
          </w:p>
        </w:tc>
        <w:tc>
          <w:tcPr>
            <w:tcW w:type="dxa" w:w="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Tranylcypromine</w:t>
            </w:r>
          </w:p>
        </w:tc>
        <w:tc>
          <w:tcPr>
            <w:tcW w:type="dxa" w:w="23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Inhibidor LSD1/MAO (epigenético)</w:t>
            </w:r>
          </w:p>
        </w:tc>
        <w:tc>
          <w:tcPr>
            <w:tcW w:type="dxa" w:w="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MAOA</w:t>
            </w:r>
          </w:p>
        </w:tc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Depresión / investigacional en oncología</w:t>
            </w:r>
          </w:p>
        </w:tc>
        <w:tc>
          <w:tcPr>
            <w:tcW w:type="dxa" w:w="13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6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-0.542</w:t>
            </w:r>
          </w:p>
        </w:tc>
        <w:tc>
          <w:tcPr>
            <w:tcW w:type="dxa" w:w="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0.641</w:t>
            </w:r>
          </w:p>
        </w:tc>
        <w:tc>
          <w:tcPr>
            <w:tcW w:type="dxa" w:w="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Tabla 6. Fármacos con target primario distinto al eje EGFR/ErbB que mantienen robustez en los cuatro niveles LOD. Constituyen la contribución principal del análisis de reposicionamiento. CMap score: conectividad negativa (reversión de firma transcriptómica) en L2S2; NA = perfil no disponible. Target primario: gen DE con mayor solapamiento en el proteoma; puede diferir del mecanismo farmacológico principal (e.g., Metformina y Crizotinib muestran EGFR como target por solapamiento protéomico, no por mecanismo).</w:t>
      </w:r>
    </w:p>
    <w:p>
      <w:pPr>
        <w:spacing w:after="60" w:before="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Tabla S1.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Candidatos extendidos no-EGFR — robustos a pesos, sensibles a tamaño de pool (n = 20)</w:t>
      </w:r>
    </w:p>
    <w:tbl>
      <w:tblPr>
        <w:tblW w:type="dxa" w:w="99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000"/>
        <w:gridCol w:w="2000"/>
        <w:gridCol w:w="1466"/>
        <w:gridCol w:w="1500"/>
      </w:tblGrid>
      <w:tr>
        <w:trPr>
          <w:tblHeader/>
        </w:trPr>
        <w:tc>
          <w:tcPr>
            <w:tcW w:type="dxa" w:w="2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Fármaco</w:t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 primario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 configs (de 6)</w:t>
            </w:r>
          </w:p>
        </w:tc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Fase clínica máx.</w:t>
            </w:r>
          </w:p>
        </w:tc>
        <w:tc>
          <w:tcPr>
            <w:tcW w:type="dxa" w:w="14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Composite score</w:t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 fuentes</w:t>
            </w:r>
          </w:p>
        </w:tc>
      </w:tr>
      <w:tr>
        <w:tc>
          <w:tcPr>
            <w:tcW w:type="dxa" w:w="2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Tenatumomab</w:t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TNC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Fase III</w:t>
            </w:r>
          </w:p>
        </w:tc>
        <w:tc>
          <w:tcPr>
            <w:tcW w:type="dxa" w:w="14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0.662</w:t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Pabinafusp Alfa</w:t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TFRC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14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0.652</w:t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Andecaliximab</w:t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MMP9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Fase III</w:t>
            </w:r>
          </w:p>
        </w:tc>
        <w:tc>
          <w:tcPr>
            <w:tcW w:type="dxa" w:w="14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0.636</w:t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Ixazomib</w:t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EML4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14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0.635</w:t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Pargyline</w:t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MAOA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14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0.632</w:t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Sigvotatug Vedotin</w:t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ITGB6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Fase III</w:t>
            </w:r>
          </w:p>
        </w:tc>
        <w:tc>
          <w:tcPr>
            <w:tcW w:type="dxa" w:w="14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0.631</w:t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Bortezomib D-Mannitol</w:t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PSMA1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14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0.63</w:t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Digoxin</w:t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ATP1A1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14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0.626</w:t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Forigerimod</w:t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HSPA8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Fase III</w:t>
            </w:r>
          </w:p>
        </w:tc>
        <w:tc>
          <w:tcPr>
            <w:tcW w:type="dxa" w:w="14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0.625</w:t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Valproic Acid</w:t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ALDH5A1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14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0.622</w:t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Mizoribine</w:t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IMPDH2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14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0.601</w:t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Mycophenolate</w:t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IMPDH2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14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0.601</w:t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Mycophenolate Mofetil</w:t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IMPDH2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14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0.601</w:t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Thioguanine</w:t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GGH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14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0.589</w:t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Perhexiline</w:t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CPT2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14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0.589</w:t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Isocarboxazid</w:t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MAOA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14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0.588</w:t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Disulfiram</w:t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ALDH1A1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14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0.588</w:t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Volanesorsen</w:t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APOC3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14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0.584</w:t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Digitoxin</w:t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ATP1A1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14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0.576</w:t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Acetazolamide</w:t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CA2</w:t>
            </w:r>
          </w:p>
        </w:tc>
        <w:tc>
          <w:tcPr>
            <w:tcW w:type="dxa" w:w="1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Aprobado (Fase IV)</w:t>
            </w:r>
          </w:p>
        </w:tc>
        <w:tc>
          <w:tcPr>
            <w:tcW w:type="dxa" w:w="1466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0.575</w:t>
            </w:r>
          </w:p>
        </w:tc>
        <w:tc>
          <w:tcPr>
            <w:tcW w:type="dxa" w:w="15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Tabla Suplementaria S1. Fármacos no-EGFR presentes en ≥5/6 configuraciones de pesos del análisis de sensibilidad pero no LOD-stable (caen fuera del top-N con algunos umbrales de detección). Presentados como candidatos exploratorios de segunda prioridad. OE3 pendiente de planificación.</w:t>
      </w:r>
    </w:p>
    <w:p>
      <w:pPr>
        <w:spacing w:after="60" w:before="60"/>
      </w:pPr>
    </w:p>
    <w:sectPr>
      <w:pgSz w:w="16838" w:h="11906" w:orient="portrait"/>
      <w:pgMar w:top="1020" w:right="1020" w:bottom="102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ab1cce784af39f38a161d8b2f15441ea571ca47.png"/><Relationship Id="rId8" Type="http://schemas.openxmlformats.org/officeDocument/2006/relationships/image" Target="media/1763d1ba576e0ebd84738076bca164f88f6bc014.png"/><Relationship Id="rId9" Type="http://schemas.openxmlformats.org/officeDocument/2006/relationships/image" Target="media/e083b4485ee9e240e6ae59b6f52d8f32a2129961.png"/><Relationship Id="rId10" Type="http://schemas.openxmlformats.org/officeDocument/2006/relationships/image" Target="media/61aa76afbb00d5f552d16ab0a96e5174ca4e2232.png"/><Relationship Id="rId11" Type="http://schemas.openxmlformats.org/officeDocument/2006/relationships/image" Target="media/aff4918b5aff33c0523dd8589af105b43283cecf.png"/><Relationship Id="rId12" Type="http://schemas.openxmlformats.org/officeDocument/2006/relationships/image" Target="media/0706d14d08f6e3a97f50c06ab053b9f30841b6b5.png"/><Relationship Id="rId13" Type="http://schemas.openxmlformats.org/officeDocument/2006/relationships/image" Target="media/img_c2.png"/><Relationship Id="rId15" Type="http://schemas.openxmlformats.org/officeDocument/2006/relationships/image" Target="media/img_figA.png"/><Relationship Id="rId16" Type="http://schemas.openxmlformats.org/officeDocument/2006/relationships/image" Target="media/img_figB.png"/><Relationship Id="rId17" Type="http://schemas.openxmlformats.org/officeDocument/2006/relationships/image" Target="media/img_figC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2026-04-12T02:40:46.304Z</dcterms:created>
  <dcterms:modified xsi:type="dcterms:W3CDTF">2026-04-12T02:40:46.304Z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