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HNSCC Drug Repurposing</w:t>
      </w:r>
    </w:p>
    <w:p>
      <w:pPr>
        <w:spacing w:after="80" w:before="0"/>
      </w:pPr>
      <w:r>
        <w:rPr>
          <w:rFonts w:ascii="Arial" w:cs="Arial" w:eastAsia="Arial" w:hAnsi="Arial"/>
          <w:color w:val="2E75B6"/>
          <w:sz w:val="30"/>
          <w:szCs w:val="30"/>
        </w:rPr>
        <w:t xml:space="preserve">Figuras y Tablas por Objetivo</w:t>
      </w:r>
    </w:p>
    <w:p>
      <w:pPr>
        <w:spacing w:after="240" w:before="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Tesis de grado  •  2026-04-11  •  Sección 0 + OE1</w:t>
      </w:r>
    </w:p>
    <w:p>
      <w:pPr>
        <w:pBdr>
          <w:bottom w:val="single" w:color="B0C8E0" w:sz="6" w:space="3"/>
        </w:pBdr>
        <w:spacing w:after="0" w:before="160"/>
      </w:pPr>
    </w:p>
    <w:p>
      <w:pPr>
        <w:pBdr>
          <w:bottom w:val="single" w:color="2E75B6" w:sz="10" w:space="4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Objetivo General</w:t>
      </w:r>
    </w:p>
    <w:p>
      <w:pPr>
        <w:pBdr>
          <w:left w:val="single" w:color="2E75B6" w:sz="12" w:space="6"/>
        </w:pBdr>
        <w:spacing w:after="160" w:before="60"/>
        <w:ind w:left="36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Evaluar in silico el potencial de reposicionamiento de fármacos existentes para el tratamiento del cáncer escamocelular de cabeza y cuello, integrando datos proteómicos, análisis bioinformáticos y evidencia farmacológica que permita identificar candidatos con relevancia terapéutica.</w:t>
      </w:r>
    </w:p>
    <w:p>
      <w:pPr>
        <w:pBdr>
          <w:bottom w:val="single" w:color="B0C8E0" w:sz="6" w:space="3"/>
        </w:pBdr>
        <w:spacing w:after="0" w:before="160"/>
      </w:pPr>
    </w:p>
    <w:p>
      <w:pPr>
        <w:pBdr>
          <w:bottom w:val="single" w:color="2E75B6" w:sz="10" w:space="4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Sección 0 — Caracterización del perfil proteómico diferencial</w:t>
      </w:r>
    </w:p>
    <w:p>
      <w:pPr>
        <w:spacing w:after="14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Base metodológica. Responde: ¿Cuál es el proteoma diferencial de HNSCC frente a tejido normal adyacente? ¿Qué procesos biológicos están alterados?</w:t>
      </w:r>
    </w:p>
    <w:p>
      <w:pPr>
        <w:spacing w:after="60" w:before="100"/>
        <w:jc w:val="center"/>
      </w:pPr>
      <w:r>
        <w:drawing>
          <wp:inline distT="0" distB="0" distL="0" distR="0">
            <wp:extent cx="5543550" cy="3695700"/>
            <wp:effectExtent t="0" r="0" b="0" l="0"/>
            <wp:docPr id="1" name="Sec0_FigB_volcano.png" descr="Sec0_FigB_volcano.png" title="Sec0_FigB_volcan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2.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Volcano plot del contraste Tumor vs. Tejido Normal (TVsS). 666 proteínas diferencialmente expresadas (FDR &lt; 0.05, |log2FC| &gt; 1): 329 sobreexpresadas (naranja) y 337 subexpresadas (azul). Se etiquetan proteínas de interés terapéutico (EGFR, PSMB2, PSMA1, DNMT1, NDUFA9, NDUFS3).</w:t>
      </w:r>
    </w:p>
    <w:p>
      <w:pPr>
        <w:spacing w:after="60" w:before="100"/>
        <w:jc w:val="center"/>
      </w:pPr>
      <w:r>
        <w:drawing>
          <wp:inline distT="0" distB="0" distL="0" distR="0">
            <wp:extent cx="5219700" cy="4933950"/>
            <wp:effectExtent t="0" r="0" b="0" l="0"/>
            <wp:docPr id="1" name="Sec0_FigC_heatmap_topDE.png" descr="Sec0_FigC_heatmap_topDE.png" title="Sec0_FigC_heatmap_topD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3.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Mapa de calor (Z-score) de las top 40 proteínas DE (20 más sobreexpresadas + 20 más subexpresadas por |log2FC|) en las 20 muestras. La selección se restringió a proteínas detectadas en las 20/20 muestras (194 sobreexpresadas + 137 subexpresadas elegibles), evitando valores faltantes y garantizando un Z-score válido para cada muestra. Las barras superiores indican condición (tumor/normal) y estado HPV por muestra.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1.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Resumen estadístico del análisis de expresión diferencial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600"/>
        <w:gridCol w:w="4066"/>
      </w:tblGrid>
      <w:tr>
        <w:trPr>
          <w:tblHeader/>
        </w:trP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Parámetro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Nota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Proteínas cuantificadas (total)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3352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Proteómica DIA, MaxQuant, 10 pares tumor/normal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Proteínas mapeadas a Entrez ID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3352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Mapeo con org.Hs.eg.db (Bioconductor)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Umbral log2 Fold Change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&gt; 1.0  (cambio &gt; 2× en escala lineal)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Aplicado sobre contrastes limma TVsS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Umbral FDR (adj. p-valor)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 0.05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Benjamini-Hochberg (limma/proteoDA)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Proteínas DE significativas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19.9% del proteoma cuantificado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 — Sobreexpresadas en tumor (up)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329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49.4% del total DE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 — Subexpresadas en tumor (down)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337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50.6% del total DE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HPV+ pacientes / pares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 pacientes / 12 muestras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M3, M5, M6, M7, M9, M10</w:t>
            </w:r>
          </w:p>
        </w:tc>
      </w:tr>
      <w:tr>
        <w:tc>
          <w:tcPr>
            <w:tcW w:type="dxa" w:w="3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HPV− pacientes / pares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pacientes / 8 muestras</w:t>
            </w:r>
          </w:p>
        </w:tc>
        <w:tc>
          <w:tcPr>
            <w:tcW w:type="dxa" w:w="40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M1, M2, M4, M8</w:t>
            </w:r>
          </w:p>
        </w:tc>
      </w:tr>
    </w:tbl>
    <w:p>
      <w:pPr>
        <w:spacing w:after="60" w:before="60"/>
      </w:pP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2.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Top 40 proteínas diferencialmente expresadas (20 up + 20 down)</w:t>
      </w:r>
    </w:p>
    <w:tbl>
      <w:tblPr>
        <w:tblW w:type="dxa" w:w="8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1400"/>
        <w:gridCol w:w="1600"/>
        <w:gridCol w:w="2466"/>
      </w:tblGrid>
      <w:tr>
        <w:trPr>
          <w:tblHeader/>
        </w:trP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Gen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UniProt ID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log2FC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FDR (adj.p)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Dirección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PHKA1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P46020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3.744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0.00613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LAMB3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Q13751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3.444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9.23e-4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LAMA3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Q16787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3.22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1.38e-4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SERPINE1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P05121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3.093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0.00946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PTK7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Q13308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3.079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1.43e-4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IL36RN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Q9UBH0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3.043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0.0185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TNC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P24821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2.939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0.00197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ISG15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P05161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2.844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0.00183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FRRS1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Q6ZNA5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2.837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0.00861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RNASE2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P10153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2.836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0.0169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COL4A1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P02462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2.658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0.00174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LSM7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Q9UK45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2.653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0.00755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STARD5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Q9NSY2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2.646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0.00483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EIF2S3B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Q2VIR3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2.644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0.0128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P53999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2.635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0.00486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MCM3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P25205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2.621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0.00876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CTHRC1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Q96CG8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0.00474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PSPH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P78330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2.541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0.00454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HMGB3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O15347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2.539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0.0473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COL4A2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P08572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2.516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6.39e-4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Sobreexpresada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SLC25A4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P12235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-5.99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3.23e-4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MYLPF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Q96A32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-5.291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9.32e-4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HSPB6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O14558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-4.923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3.3e-4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MYL2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P10916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-4.907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0.00177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CASQ1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P31415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-4.84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0.00362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SYPL2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Q5VXT5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-4.724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0.00221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FHL1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Q13642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-4.701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0.00394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MYH2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Q9UKX2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-4.685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MYL3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P08590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-4.657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0.00256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MYH7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P12883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-4.573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0.00397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BPIFB1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Q8TDL5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-4.415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0.00256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CRYAB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P02511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-4.342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0.00174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LDB3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O75112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-4.268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0.0103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BPIFA1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Q9NP55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-4.167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0.0255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PYGM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P11217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-4.013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0.00219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MYL1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P05976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0.00412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GPD1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P21695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-3.997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0.00177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TCAP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O15273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-3.932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0.0192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PADI2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Q9Y2J8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-3.859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0.00275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  <w:tr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ATP2A1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O14983</w:t>
            </w:r>
          </w:p>
        </w:tc>
        <w:tc>
          <w:tcPr>
            <w:tcW w:type="dxa" w:w="14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-3.756</w:t>
            </w:r>
          </w:p>
        </w:tc>
        <w:tc>
          <w:tcPr>
            <w:tcW w:type="dxa" w:w="1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0.00362</w:t>
            </w:r>
          </w:p>
        </w:tc>
        <w:tc>
          <w:tcPr>
            <w:tcW w:type="dxa" w:w="2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Subexpresada</w:t>
            </w:r>
          </w:p>
        </w:tc>
      </w:tr>
    </w:tbl>
    <w:p>
      <w:pPr>
        <w:spacing w:after="60" w:before="60"/>
      </w:pPr>
    </w:p>
    <w:p>
      <w:r>
        <w:br w:type="page"/>
      </w:r>
    </w:p>
    <w:p>
      <w:pPr>
        <w:pBdr>
          <w:bottom w:val="single" w:color="2E75B6" w:sz="10" w:space="4"/>
        </w:pBdr>
        <w:spacing w:after="100" w:before="28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Objetivo Específico 1 — Relacionar proteínas DE con fármacos</w:t>
      </w:r>
    </w:p>
    <w:p>
      <w:pPr>
        <w:pBdr>
          <w:left w:val="single" w:color="2E75B6" w:sz="12" w:space="6"/>
        </w:pBdr>
        <w:spacing w:after="160" w:before="60"/>
        <w:ind w:left="36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Relacionar proteínas expresadas diferencialmente en cáncer escamocelular de cabeza y cuello con fármacos reportados en bases de datos públicas, utilizando herramientas bioinformáticas de reposicionamiento y análisis de conectividad.</w:t>
      </w:r>
    </w:p>
    <w:p>
      <w:pPr>
        <w:spacing w:after="60" w:before="100"/>
        <w:jc w:val="center"/>
      </w:pPr>
      <w:r>
        <w:drawing>
          <wp:inline distT="0" distB="0" distL="0" distR="0">
            <wp:extent cx="4895850" cy="3267075"/>
            <wp:effectExtent t="0" r="0" b="0" l="0"/>
            <wp:docPr id="1" name="OE1_FigA_drug_sources_bar.png" descr="OE1_FigA_drug_sources_bar.png" title="OE1_FigA_drug_sources_b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5.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Número de fármacos candidatos identificados por cada base de datos consultada (DGIdb, OpenTargets, L2S2, ChEMBL). Ilustra la estrategia multi-fuente y la cobertura diferencial de cada recurso.</w:t>
      </w:r>
    </w:p>
    <w:p>
      <w:pPr>
        <w:spacing w:after="60" w:before="100"/>
        <w:jc w:val="center"/>
      </w:pPr>
      <w:r>
        <w:drawing>
          <wp:inline distT="0" distB="0" distL="0" distR="0">
            <wp:extent cx="4895850" cy="3267075"/>
            <wp:effectExtent t="0" r="0" b="0" l="0"/>
            <wp:docPr id="1" name="OE1_FigB_drug_phase_dist.png" descr="OE1_FigB_drug_phase_dist.png" title="OE1_FigB_drug_phase_d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Figura 6. </w:t>
      </w:r>
      <w:r>
        <w:rPr>
          <w:rFonts w:ascii="Arial" w:cs="Arial" w:eastAsia="Arial" w:hAnsi="Arial"/>
          <w:i w:val="false"/>
          <w:iCs w:val="false"/>
          <w:color w:val="444444"/>
          <w:sz w:val="18"/>
          <w:szCs w:val="18"/>
        </w:rPr>
        <w:t xml:space="preserve">Distribución de fases clínicas de los candidatos multi-fuente (n = 458; presentes en ≥2 bases de datos). El 75% son fármacos aprobados: 120 con Fase IV confirmada por ChEMBL (verde oscuro) y 222 aprobados identificados por DGIdb sin registro de fase en ChEMBL (verde claro). Esta distinción es importante: ambos grupos tienen perfil de seguridad establecido y son candidatos viables para reposicionamiento.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3.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Resumen de la consulta a bases de datos farmacológicas</w:t>
      </w:r>
    </w:p>
    <w:tbl>
      <w:tblPr>
        <w:tblW w:type="dxa" w:w="100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900"/>
        <w:gridCol w:w="900"/>
        <w:gridCol w:w="1000"/>
        <w:gridCol w:w="900"/>
        <w:gridCol w:w="1100"/>
        <w:gridCol w:w="800"/>
        <w:gridCol w:w="666"/>
      </w:tblGrid>
      <w:tr>
        <w:trPr>
          <w:tblHeader/>
        </w:trP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Base de datos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Genes DE consultados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Genes con hits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Fármacos/pert. únicos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Pares gen-fármaco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Criterio de filtro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Aprobados (Fase IV)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III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 v5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291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2697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3542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Cualquier interacción reportada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 34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114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Fase clínica &gt;= 3 (Phase III o aprobado)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Open Targets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115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290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7236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Cualquier fármaco conocido para el gen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</w:tr>
      <w:tr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L2S2</w:t>
            </w:r>
          </w:p>
        </w:tc>
        <w:tc>
          <w:tcPr>
            <w:tcW w:type="dxa" w:w="26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666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1048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1048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Conectividad negativa (reversión de firma)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</w:t>
            </w:r>
          </w:p>
        </w:tc>
      </w:tr>
    </w:tbl>
    <w:p>
      <w:pPr>
        <w:spacing w:after="60" w:before="60"/>
      </w:pPr>
    </w:p>
    <w:p>
      <w:pPr>
        <w:spacing w:after="60" w:before="16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4.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Top 30 candidatos farmacológicos por número de fuentes de respaldo</w:t>
      </w:r>
    </w:p>
    <w:p>
      <w:pPr>
        <w:spacing w:after="80" w:before="200"/>
        <w:jc w:val="center"/>
      </w:pPr>
      <w:r>
        <w:drawing>
          <wp:inline distT="0" distB="0" distL="0" distR="0">
            <wp:extent cx="5486400" cy="4801083"/>
            <wp:effectExtent t="0" r="0" b="0" l="0"/>
            <wp:docPr id="8" name="OE2_FigA_ppi_network" descr="OE2_FigA_ppi_network" title="OE2_FigA_ppi_netwo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801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900"/>
        <w:gridCol w:w="2200"/>
        <w:gridCol w:w="1800"/>
        <w:gridCol w:w="1100"/>
        <w:gridCol w:w="1200"/>
        <w:gridCol w:w="766"/>
      </w:tblGrid>
      <w:tr>
        <w:trPr>
          <w:tblHeader/>
        </w:trP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fuentes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Fuentes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clínica máx.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Indicación HNSCC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Indicación oncológica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ChEMBL ID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Afatinib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CHEMBL2105712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Lapatinib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CHEMBL1201179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Valproic Acid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CHEMBL2105613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Gefitinib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CHEMBL939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Azacitidine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CHEMBL1489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Disulfiram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CHEMBL964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Acetazolamide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CHEMBL20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Decitabine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CHEMBL1201129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Neratinib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CHEMBL180022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Bivalirudin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CHEMBL5314348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Brinzolamide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CHEMBL220491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Dabigatran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CHEMBL48361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Methazolamide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Topiramate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CHEMBL220492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Metformin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CHEMBL1431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Cetuximab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CHEMBL1201577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Dacomitinib Anhydrous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CHEMBL2110732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Erlotinib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CHEMBL553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Nimotuzumab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CHEMBL2108359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Panitumumab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CHEMBL1201827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Carfilzomib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CHEMBL451887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Thioguanine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CHEMBL727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Brigatinib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CHEMBL3545311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Crizotinib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CHEMBL601719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Erlotinib Hydrochloride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CHEMBL1079742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Pentoxifylline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DGIdb|L2S2|OpenTargets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CHEMBL628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Amivantamab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CHEMBL4297774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Aumolertinib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CHEMBL4761468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Cedazuridine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ChEMBL|DGIdb|OpenTargets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EEF4F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CHEMBL3237547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Dacomitinib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ChEMBL|L2S2|OpenTargets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1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12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CHEMBL2105719</w:t>
            </w:r>
          </w:p>
        </w:tc>
      </w:tr>
    </w:tbl>
    <w:p>
      <w:pPr>
        <w:spacing w:after="60" w:before="60"/>
      </w:pPr>
    </w:p>
    <w:p>
      <w:pPr>
        <w:pBdr>
          <w:bottom w:val="single" w:color="B0C8E0" w:sz="6" w:space="3"/>
        </w:pBdr>
        <w:spacing w:after="0" w:before="240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Objetivo Específico 2 — Priorizar candidatos mediante análisis multi-criterio</w:t>
      </w:r>
    </w:p>
    <w:p>
      <w:pPr>
        <w:spacing w:after="60" w:before="60"/>
      </w:pPr>
    </w:p>
    <w:p>
      <w:pPr>
        <w:spacing w:after="120" w:before="120"/>
        <w:ind w:left="720"/>
      </w:pPr>
      <w:r>
        <w:rPr>
          <w:rFonts w:ascii="Arial" w:cs="Arial" w:eastAsia="Arial" w:hAnsi="Arial"/>
          <w:i/>
          <w:iCs/>
          <w:color w:val="444444"/>
          <w:sz w:val="20"/>
          <w:szCs w:val="20"/>
        </w:rPr>
        <w:t xml:space="preserve">Priorizar los fármacos candidatos mediante una puntuación compuesta (composite score) que integra señal protéomica, conectividad transcriptómica, relevancia de vías, centralidad en redes PPI y fase clínica, validando la robustez del ranking mediante análisis de sensibilidad por nivel de detección (LOD).</w:t>
      </w:r>
    </w:p>
    <w:p>
      <w:pPr>
        <w:spacing w:after="60" w:before="6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5.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Candidatos EGFR LOD-stable — validación del método (n = 26)</w:t>
      </w:r>
    </w:p>
    <w:tbl>
      <w:tblPr>
        <w:tblW w:type="dxa" w:w="9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800"/>
        <w:gridCol w:w="1700"/>
        <w:gridCol w:w="1000"/>
        <w:gridCol w:w="900"/>
        <w:gridCol w:w="766"/>
      </w:tblGrid>
      <w:tr>
        <w:trPr>
          <w:tblHeader/>
        </w:trP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Subclase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Target primario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clínica máx.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Aprobado HNSCC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Composite score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fuentes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Amivantamab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Cetuximab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Sí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Cetuximab Sarotalocan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Necitumumab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Nimotuzumab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Panitumumab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Depatuxizumab Mafodotin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Anticuerpo/ADC anti-EGFR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0.656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Vandetanib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multi-quinasa (EGFR+)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0.754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Crizotinib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multi-quinasa (EGFR+)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0.675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Metformin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multi-quinasa (EGFR+)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0.658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Gefitinib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0.777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Erlotinib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0.772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Neratinib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0.753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Dacomitinib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0.739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Icotinib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Afatinib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Sí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0.671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Lapatinib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0.67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Canertinib Dihydrochloride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1ª-2ª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0.656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Aumolertinib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Lazertinib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Mobocertinib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Olmutinib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Osimertinib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Rociletinib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0.706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Abivertinib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0.656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Firmonertinib</w:t>
            </w:r>
          </w:p>
        </w:tc>
        <w:tc>
          <w:tcPr>
            <w:tcW w:type="dxa" w:w="2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TKI EGFR 3ª generación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EGFR</w:t>
            </w:r>
          </w:p>
        </w:tc>
        <w:tc>
          <w:tcPr>
            <w:tcW w:type="dxa" w:w="17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</w:t>
            </w:r>
          </w:p>
        </w:tc>
        <w:tc>
          <w:tcPr>
            <w:tcW w:type="dxa" w:w="9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0.656</w:t>
            </w:r>
          </w:p>
        </w:tc>
        <w:tc>
          <w:tcPr>
            <w:tcW w:type="dxa" w:w="7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</w:tbl>
    <w:p>
      <w:pPr>
        <w:spacing w:after="80" w:before="200"/>
        <w:jc w:val="center"/>
      </w:pPr>
      <w:r>
        <w:drawing>
          <wp:inline distT="0" distB="0" distL="0" distR="0">
            <wp:extent cx="5486400" cy="3658460"/>
            <wp:effectExtent t="0" r="0" b="0" l="0"/>
            <wp:docPr id="9" name="OE2_FigB_module_barplot" descr="OE2_FigB_module_barplot" title="OE2_FigB_module_barpl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0"/>
        <w:jc w:val="center"/>
      </w:pPr>
      <w:r>
        <w:drawing>
          <wp:inline distT="0" distB="0" distL="0" distR="0">
            <wp:extent cx="5486400" cy="3963117"/>
            <wp:effectExtent t="0" r="0" b="0" l="0"/>
            <wp:docPr id="10" name="OE2_FigC_class_distribution" descr="OE2_FigC_class_distribution" title="OE2_FigC_class_distribu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6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</w:pPr>
      <w:r>
        <w:rPr>
          <w:rFonts w:ascii="Arial" w:cs="Arial" w:eastAsia="Arial" w:hAnsi="Arial"/>
          <w:i/>
          <w:iCs/>
          <w:color w:val="666666"/>
          <w:sz w:val="16"/>
          <w:szCs w:val="16"/>
        </w:rPr>
        <w:t xml:space="preserve">Tabla 5. Fármacos dirigidos al eje EGFR/ErbB que permanecen en el top del ranking en las cuatro variaciones de umbral LOD testadas. La dominancia de este eje es consistente con la biología establecida de HNSCC y valida el enfoque no supervisado del pipeline. ‘Aprobado HNSCC’ indica aprobación regulatoria FDA/EMA específica para HNSCC (no off-label ni solo evidencia de ensayos clínicos).</w:t>
      </w:r>
    </w:p>
    <w:p>
      <w:pPr>
        <w:spacing w:after="60" w:before="6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6.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Candidatos no-EGFR LOD-stable — oportunidades de reposicionamiento (n = 6)</w:t>
      </w:r>
    </w:p>
    <w:tbl>
      <w:tblPr>
        <w:tblW w:type="dxa" w:w="9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800"/>
        <w:gridCol w:w="1800"/>
        <w:gridCol w:w="1300"/>
        <w:gridCol w:w="666"/>
        <w:gridCol w:w="800"/>
        <w:gridCol w:w="800"/>
      </w:tblGrid>
      <w:tr>
        <w:trPr>
          <w:tblHeader/>
        </w:trP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Mecanismo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Target primario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Indicación actual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clínica máx.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Composite score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fuentes</w:t>
            </w:r>
          </w:p>
        </w:tc>
      </w:tr>
      <w:t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Decitabine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DNMT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DNMT1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Síndrome mielodisplásico / LMA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-0.414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0.715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Azacitidine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DNMT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ALDH1A1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Síndrome mielodisplásico / LMA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-0.488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0.669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Cedazuridine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desaminasa de citidina (potenciador DNMT)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CDA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Síndrome mielodisplásico (combinado con decitabine)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0.662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Carfilzomib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de proteasoma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PSMA1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Mieloma múltiple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-0.277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0.649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Mitapivat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Activador piruvato quinasa (PK-R)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PKLR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Anemia hemolítica (deficiencia piruvato quinasa)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0.648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Tranylcypromine</w:t>
            </w:r>
          </w:p>
        </w:tc>
        <w:tc>
          <w:tcPr>
            <w:tcW w:type="dxa" w:w="2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Inhibidor LSD1/MAO (epigenético)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MAOA</w:t>
            </w:r>
          </w:p>
        </w:tc>
        <w:tc>
          <w:tcPr>
            <w:tcW w:type="dxa" w:w="1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Depresión / investigacional en oncología</w:t>
            </w:r>
          </w:p>
        </w:tc>
        <w:tc>
          <w:tcPr>
            <w:tcW w:type="dxa" w:w="13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6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-0.542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0.641</w:t>
            </w:r>
          </w:p>
        </w:tc>
        <w:tc>
          <w:tcPr>
            <w:tcW w:type="dxa" w:w="8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666666"/>
          <w:sz w:val="16"/>
          <w:szCs w:val="16"/>
        </w:rPr>
        <w:t xml:space="preserve">Tabla 6. Fármacos con target primario distinto al eje EGFR/ErbB que mantienen robustez en los cuatro niveles LOD. Constituyen la contribución principal del análisis de reposicionamiento. Target primario: gen DE con mayor solapamiento en el proteoma; puede diferir del mecanismo farmacológico principal (e.g., Metformina y Crizotinib muestran EGFR como target por solapamiento protéomico, no por mecanismo).</w:t>
      </w:r>
    </w:p>
    <w:p>
      <w:pPr>
        <w:spacing w:after="60" w:before="60"/>
      </w:pPr>
    </w:p>
    <w:p>
      <w:pPr>
        <w:spacing w:after="60" w:before="20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Tabla S1.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Candidatos extendidos no-EGFR — robustos a pesos, sensibles a tamaño de pool (n = 20)</w:t>
      </w:r>
    </w:p>
    <w:tbl>
      <w:tblPr>
        <w:tblW w:type="dxa" w:w="9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000"/>
        <w:gridCol w:w="2000"/>
        <w:gridCol w:w="1466"/>
        <w:gridCol w:w="1500"/>
      </w:tblGrid>
      <w:tr>
        <w:trPr>
          <w:tblHeader/>
        </w:trP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Fármaco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Target primario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configs (de 6)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Fase clínica máx.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Composite score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 fuentes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Tenatumomab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TNC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0.662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Pabinafusp Alfa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TFRC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0.652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Andecaliximab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MMP9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0.636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Ixazomib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EML4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0.635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Pargyline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MAOA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0.632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Sigvotatug Vedotin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ITGB6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0.631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Bortezomib D-Mannitol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PSMA1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0.63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Digoxin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ATP1A1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0.626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Forigerimod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HSPA8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Fase III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0.625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Valproic Acid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ALDH5A1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0.622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Mizoribine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IMPDH2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0.601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Mycophenolate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IMPDH2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0.601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Mycophenolate Mofetil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IMPDH2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0.601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Thioguanine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GGH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0.589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Perhexiline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CPT2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0.589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Isocarboxazid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MAOA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0.588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Disulfiram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ALDH1A1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0.588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Volanesorsen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APOC3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0.584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Digitoxin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ATP1A1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0.576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2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Acetazolamide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CA2</w:t>
            </w:r>
          </w:p>
        </w:tc>
        <w:tc>
          <w:tcPr>
            <w:tcW w:type="dxa" w:w="1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Aprobado (Fase IV)</w:t>
            </w:r>
          </w:p>
        </w:tc>
        <w:tc>
          <w:tcPr>
            <w:tcW w:type="dxa" w:w="1466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0.575</w:t>
            </w:r>
          </w:p>
        </w:tc>
        <w:tc>
          <w:tcPr>
            <w:tcW w:type="dxa" w:w="1500"/>
            <w:tcBorders>
              <w:top w:val="single" w:color="B0C8E0" w:sz="1"/>
              <w:left w:val="single" w:color="B0C8E0" w:sz="1"/>
              <w:bottom w:val="single" w:color="B0C8E0" w:sz="1"/>
              <w:right w:val="single" w:color="B0C8E0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666666"/>
          <w:sz w:val="16"/>
          <w:szCs w:val="16"/>
        </w:rPr>
        <w:t xml:space="preserve">Tabla Suplementaria S1. Fármacos no-EGFR presentes en ≥5/6 configuraciones de pesos del análisis de sensibilidad pero no LOD-stable (caen fuera del top-N con algunos umbrales de detección). Presentados como candidatos exploratorios de segunda prioridad. OE3 pendiente de planificación.</w:t>
      </w:r>
    </w:p>
    <w:p>
      <w:pPr>
        <w:spacing w:after="60" w:before="60"/>
      </w:pPr>
    </w:p>
    <w:sectPr>
      <w:pgSz w:w="16838" w:h="11906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ab1cce784af39f38a161d8b2f15441ea571ca47.png"/><Relationship Id="rId8" Type="http://schemas.openxmlformats.org/officeDocument/2006/relationships/image" Target="media/1763d1ba576e0ebd84738076bca164f88f6bc014.png"/><Relationship Id="rId9" Type="http://schemas.openxmlformats.org/officeDocument/2006/relationships/image" Target="media/e083b4485ee9e240e6ae59b6f52d8f32a2129961.png"/><Relationship Id="rId10" Type="http://schemas.openxmlformats.org/officeDocument/2006/relationships/image" Target="media/61aa76afbb00d5f552d16ab0a96e5174ca4e2232.png"/><Relationship Id="rId11" Type="http://schemas.openxmlformats.org/officeDocument/2006/relationships/image" Target="media/aff4918b5aff33c0523dd8589af105b43283cecf.png"/><Relationship Id="rId12" Type="http://schemas.openxmlformats.org/officeDocument/2006/relationships/image" Target="media/img_c2.png"/><Relationship Id="rId15" Type="http://schemas.openxmlformats.org/officeDocument/2006/relationships/image" Target="media/img_figA.png"/><Relationship Id="rId16" Type="http://schemas.openxmlformats.org/officeDocument/2006/relationships/image" Target="media/img_figB.png"/><Relationship Id="rId17" Type="http://schemas.openxmlformats.org/officeDocument/2006/relationships/image" Target="media/img_fig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2026-04-12T02:40:46.304Z</dcterms:created>
  <dcterms:modified xsi:type="dcterms:W3CDTF">2026-04-12T02:40:46.304Z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