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HNSCC Drug Repurposing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Figuras y Tablas por Objetivo</w:t>
      </w:r>
    </w:p>
    <w:p>
      <w:pPr>
        <w:spacing w:after="2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Tesis de grado  •  2026-04-11  •  Sección 0 + OE1</w:t>
      </w:r>
    </w:p>
    <w:p>
      <w:pPr>
        <w:pBdr>
          <w:bottom w:val="single" w:color="B0C8E0" w:sz="6" w:space="3"/>
        </w:pBdr>
        <w:spacing w:after="0" w:before="160"/>
      </w:pP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General</w:t>
      </w:r>
    </w:p>
    <w:p>
      <w:pPr>
        <w:pBdr>
          <w:left w:val="single" w:color="2E75B6" w:sz="12" w:space="6"/>
        </w:pBd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Evaluar in silico el potencial de reposicionamiento de fármacos existentes para el tratamiento del cáncer escamocelular de cabeza y cuello, integrando datos proteómicos, análisis bioinformáticos y evidencia farmacológica que permita identificar candidatos con relevancia terapéutica.</w:t>
      </w:r>
    </w:p>
    <w:p>
      <w:pPr>
        <w:pBdr>
          <w:bottom w:val="single" w:color="B0C8E0" w:sz="6" w:space="3"/>
        </w:pBdr>
        <w:spacing w:after="0" w:before="160"/>
      </w:pP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Sección 0 — Caracterización del perfil proteómico diferencial</w:t>
      </w:r>
    </w:p>
    <w:p>
      <w:pPr>
        <w:spacing w:after="14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Base metodológica. Responde: ¿Cuál es el proteoma diferencial de HNSCC frente a tejido normal adyacente? ¿Qué procesos biológicos están alterados?</w:t>
      </w:r>
    </w:p>
    <w:p>
      <w:pPr>
        <w:spacing w:after="60" w:before="100"/>
        <w:jc w:val="center"/>
      </w:pPr>
      <w:r>
        <w:drawing>
          <wp:inline distT="0" distB="0" distL="0" distR="0">
            <wp:extent cx="5543550" cy="3695700"/>
            <wp:effectExtent t="0" r="0" b="0" l="0"/>
            <wp:docPr id="1" name="Sec0_FigA_PCA.png" descr="Sec0_FigA_PCA.png" title="Sec0_FigA_P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1.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Análisis de Componentes Principales (PCA) de las 20 muestras (10 pares tumor/normal). El PC1 separa tumor de tejido normal. La forma del punto indica estado HPV (triángulo = HPV+, círculo = HPV−). Las líneas conectan los pares del mismo paciente.</w:t>
      </w:r>
    </w:p>
    <w:p>
      <w:pPr>
        <w:spacing w:after="60" w:before="100"/>
        <w:jc w:val="center"/>
      </w:pPr>
      <w:r>
        <w:drawing>
          <wp:inline distT="0" distB="0" distL="0" distR="0">
            <wp:extent cx="5543550" cy="3695700"/>
            <wp:effectExtent t="0" r="0" b="0" l="0"/>
            <wp:docPr id="1" name="Sec0_FigB_volcano.png" descr="Sec0_FigB_volcano.png" title="Sec0_FigB_volcan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2.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Volcano plot del contraste Tumor vs. Tejido Normal (TVsS). 666 proteínas diferencialmente expresadas (FDR &lt; 0.05, |log2FC| &gt; 1): 329 sobreexpresadas (naranja) y 337 subexpresadas (azul). Se etiquetan proteínas de interés terapéutico (EGFR, PSMB2, PSMA1, DNMT1, NDUFA9, NDUFS3).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4933950"/>
            <wp:effectExtent t="0" r="0" b="0" l="0"/>
            <wp:docPr id="1" name="Sec0_FigC_heatmap_topDE.png" descr="Sec0_FigC_heatmap_topDE.png" title="Sec0_FigC_heatmap_top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3.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Mapa de calor (Z-score) de las top 40 proteínas DE (20 sobreexpresadas + 20 subexpresadas) en las 20 muestras. Las barras superiores indican condición (tumor/normal) y estado HPV.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4933950"/>
            <wp:effectExtent t="0" r="0" b="0" l="0"/>
            <wp:docPr id="1" name="Sec0_FigD_hallmarks_gsea.png" descr="Sec0_FigD_hallmarks_gsea.png" title="Sec0_FigD_hallmarks_gse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4.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GSEA sobre la colección Hallmarks MSigDB. Barplot horizontal ordenado por NES. Rojo = activado en tumor; azul = reprimido en tumor. Destaca la represión de fosforilación oxidativa (OXPHOS) y la activación de proliferación celular.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estadístico del análisis de expresión diferencial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4066"/>
      </w:tblGrid>
      <w:tr>
        <w:trPr>
          <w:tblHeader/>
        </w:trP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Parámetro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cuantificadas (total)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Proteómica DIA, MaxQuant, 10 pares tumor/normal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mapeadas a Entrez ID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Mapeo con org.Hs.eg.db (Bioconductor)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log2 Fold Change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1.0  (cambio &gt; 2× en escala lineal)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Aplicado sobre contrastes limma TVsS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FDR (adj. p-valor)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0.05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Benjamini-Hochberg (limma/proteoDA)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DE significativas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19.9% del proteoma cuantificado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Sobreexpresadas en tumor (up)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329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49.4%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Subexpresadas en tumor (down)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337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50.6%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HPV+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 pacientes / 12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M3, M5, M6, M7, M9, M10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HPV−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pacientes / 8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M1, M2, M4, M8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40 proteínas diferencialmente expresadas (20 up + 20 down)</w:t>
      </w:r>
    </w:p>
    <w:tbl>
      <w:tblPr>
        <w:tblW w:type="dxa" w:w="8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400"/>
        <w:gridCol w:w="1600"/>
        <w:gridCol w:w="2466"/>
      </w:tblGrid>
      <w:tr>
        <w:trPr>
          <w:tblHeader/>
        </w:trP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UniProt ID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log2FC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FDR (adj.p)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Dirección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PHKA1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P46020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3.744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0.00613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Q13751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LAMA3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Q16787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1.38e-4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SERPINE1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3.093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0.00946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PTK7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Q13308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3.079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IL36RN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Q9UBH0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3.043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0.0185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TNC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P24821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2.939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ISG15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P05161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FRRS1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Q6ZNA5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0.00861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RNASE2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P10153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0.0169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P02462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LSM7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Q9UK45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0.00755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STARD5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Q9NSY2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EIF2S3B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Q2VIR3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0.0128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P53999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2.635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MCM3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P25205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2.621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0.00876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CTHRC1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Q96CG8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PSPH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P78330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2.541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0.00454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HMGB3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O15347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0.0473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P08572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2.516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6.39e-4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SLC25A4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P12235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-5.99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MYLPF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Q96A32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-5.291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9.32e-4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HSPB6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O14558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-4.923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P10916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-4.907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CASQ1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P31415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-4.84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SYPL2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Q5VXT5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-4.724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0.00221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FHL1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Q13642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-4.701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Q9UKX2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-4.685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P08590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P12883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-4.573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Q8TDL5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-4.415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CRYAB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P02511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-4.342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LDB3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O75112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-4.268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0.0103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Q9NP55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-4.167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PYGM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P11217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-4.013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0.00219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P05976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0.00412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GPD1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P21695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-3.997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TCAP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O15273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-3.932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0.0192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PADI2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Q9Y2J8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-3.859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0.00275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ATP2A1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O14983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-3.756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</w:tbl>
    <w:p>
      <w:pPr>
        <w:spacing w:after="60" w:before="60"/>
      </w:pPr>
    </w:p>
    <w:p>
      <w:r>
        <w:br w:type="page"/>
      </w: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Específico 1 — Relacionar proteínas DE con fármacos</w:t>
      </w:r>
    </w:p>
    <w:p>
      <w:pPr>
        <w:pBdr>
          <w:left w:val="single" w:color="2E75B6" w:sz="12" w:space="6"/>
        </w:pBd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Relacionar proteínas expresadas diferencialmente en cáncer escamocelular de cabeza y cuello con fármacos reportados en bases de datos públicas, utilizando herramientas bioinformáticas de reposicionamiento y análisis de conectividad.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A_drug_sources_bar.png" descr="OE1_FigA_drug_sources_bar.png" title="OE1_FigA_drug_sources_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5.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Número de fármacos candidatos identificados por cada base de datos consultada (DGIdb, OpenTargets, L2S2, ChEMBL). Ilustra la estrategia multi-fuente y la cobertura diferencial de cada recurso.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B_drug_phase_dist.png" descr="OE1_FigB_drug_phase_dist.png" title="OE1_FigB_drug_phase_d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6.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Distribución de fases clínicas de los candidatos multi-fuente (n = 458; presentes en ≥2 bases de datos). El 75% son fármacos aprobados: 120 con Fase IV confirmada por ChEMBL (verde oscuro) y 222 aprobados identificados por DGIdb sin registro de fase en ChEMBL (verde claro). Esta distinción es importante: ambos grupos tienen perfil de seguridad establecido y son candidatos viables para reposicionamiento.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3848100"/>
            <wp:effectExtent t="0" r="0" b="0" l="0"/>
            <wp:docPr id="1" name="OE1_FigC_upset_sources.png" descr="OE1_FigC_upset_sources.png" title="OE1_FigC_upset_sourc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7.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Diagrama UpSet de solapamiento entre las cuatro bases de datos consultadas. Los candidatos con respaldo en múltiples fuentes (intersección) representan la evidencia más convergente y constituyen el núcleo de mayor prioridad para OE2.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de la consulta a bases de datos farmacológicas</w:t>
      </w:r>
    </w:p>
    <w:tbl>
      <w:tblPr>
        <w:tblW w:type="dxa" w:w="10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900"/>
        <w:gridCol w:w="900"/>
        <w:gridCol w:w="1000"/>
        <w:gridCol w:w="900"/>
        <w:gridCol w:w="1100"/>
        <w:gridCol w:w="800"/>
        <w:gridCol w:w="666"/>
      </w:tblGrid>
      <w:tr>
        <w:trPr>
          <w:tblHeader/>
        </w:trP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DE consultados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con hits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Fármacos/pert. únicos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Pares gen-fármaco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Criterio de filtro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Aprobados (Fase IV)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III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 v5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291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2697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3542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interacción reportada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 34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Fase clínica &gt;= 3 (Phase III o aprobado)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 Targets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7236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fármaco conocido para el gen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L2S2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Conectividad negativa (reversión de firma)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4.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30 candidatos farmacológicos por número de fuentes de respaldo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2200"/>
        <w:gridCol w:w="1800"/>
        <w:gridCol w:w="1100"/>
        <w:gridCol w:w="12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Fuentes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HNSCC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oncológica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ChEMBL ID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Lapatinib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CHEMBL1201179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CHEMBL2105613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Gefitinib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CHEMBL939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CHEMBL1489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Disulfiram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CHEMBL964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CHEMBL20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Decitabine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CHEMBL1201129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Neratinib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CHEMBL180022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Bivalirudin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CHEMBL5314348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Brinzolamide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Dabigatran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CHEMBL48361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Methazolamide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Topiramate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Metformin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CHEMBL1431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Cetuximab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CHEMBL1201577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 Anhydrous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CHEMBL2110732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CHEMBL553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CHEMBL2108359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CHEMBL1201827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CHEMBL451887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CHEMBL727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Brigatinib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CHEMBL3545311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Crizotinib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CHEMBL601719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 Hydrochloride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CHEMBL1079742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Pentoxifylline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CHEMBL628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CHEMBL4297774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CHEMBL4761468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CHEMBL3237547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CHEMBL2105719</w:t>
            </w:r>
          </w:p>
        </w:tc>
      </w:tr>
    </w:tbl>
    <w:p>
      <w:pPr>
        <w:spacing w:after="60" w:before="60"/>
      </w:pPr>
    </w:p>
    <w:p>
      <w:pPr>
        <w:pBdr>
          <w:bottom w:val="single" w:color="B0C8E0" w:sz="6" w:space="3"/>
        </w:pBdr>
        <w:spacing w:after="0" w:before="160"/>
      </w:pPr>
    </w:p>
    <w:p>
      <w:pPr>
        <w:spacing w:after="0" w:before="80"/>
      </w:pPr>
      <w:r>
        <w:rPr>
          <w:rFonts w:ascii="Arial" w:cs="Arial" w:eastAsia="Arial" w:hAnsi="Arial"/>
          <w:i/>
          <w:iCs/>
          <w:color w:val="AAAAAA"/>
          <w:sz w:val="16"/>
          <w:szCs w:val="16"/>
        </w:rPr>
        <w:t xml:space="preserve">OE2 y OE3 pendientes de planificación  •  hnscc_drug_repurposing  •  2026-04-11</w:t>
      </w:r>
    </w:p>
    <w:sectPr>
      <w:pgSz w:w="16838" w:h="11906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b1cce784af39f38a161d8b2f15441ea571ca47.png"/><Relationship Id="rId8" Type="http://schemas.openxmlformats.org/officeDocument/2006/relationships/image" Target="media/1763d1ba576e0ebd84738076bca164f88f6bc014.png"/><Relationship Id="rId9" Type="http://schemas.openxmlformats.org/officeDocument/2006/relationships/image" Target="media/c50571639264d1743a569e4d52723ae8621a71c9.png"/><Relationship Id="rId10" Type="http://schemas.openxmlformats.org/officeDocument/2006/relationships/image" Target="media/61aa76afbb00d5f552d16ab0a96e5174ca4e2232.png"/><Relationship Id="rId11" Type="http://schemas.openxmlformats.org/officeDocument/2006/relationships/image" Target="media/aff4918b5aff33c0523dd8589af105b43283cecf.png"/><Relationship Id="rId12" Type="http://schemas.openxmlformats.org/officeDocument/2006/relationships/image" Target="media/0706d14d08f6e3a97f50c06ab053b9f30841b6b5.png"/><Relationship Id="rId13" Type="http://schemas.openxmlformats.org/officeDocument/2006/relationships/image" Target="media/e99cd125e0ca7e2665018733fde98e5f6e44ac0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2026-04-12T02:04:01.142Z</dcterms:created>
  <dcterms:modified xsi:type="dcterms:W3CDTF">2026-04-12T02:04:01.142Z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