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most prominent druggable axes were anchored by their key hubs:</w:t>
      </w:r>
      <w:r>
        <w:t xml:space="preserve"> </w:t>
      </w:r>
      <w:r>
        <w:t xml:space="preserve">EGFR (module M2), proteasome subunits (M4, ubiquitin-dependent catabolism), Complex I of</w:t>
      </w:r>
      <w:r>
        <w:t xml:space="preserve"> </w:t>
      </w:r>
      <w:r>
        <w:t xml:space="preserve">oxidative phosphorylation (M8), and epigenetic regulators (M17, chromatin remodeling).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M17);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by module,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EGFR-axis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axis (M2)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Oxidative phosphorylation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Ubiquitin-dependent proteolysis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Defense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Carboxylic-acid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Anatomical-structure regulation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oxidative phosphorylation,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2026-06-15T01:12:16Z</dcterms:created>
  <dcterms:modified xsi:type="dcterms:W3CDTF">2026-06-15T01:12:16Z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