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HNSCC Drug Repurposing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Figuras y Tablas por Objetivo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Tesis de grado  •  2026-04-11  •  Sección 0 + OE1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General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proteoma diferencial de HNSCC frente a tejido normal adyacente? ¿Qué procesos biológicos están alterados?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A_PCA.png" descr="Sec0_FigA_PCA.png" title="Sec0_FigA_P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1.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Análisis de Componentes Principales (PCA) de las 20 muestras (10 pares tumor/normal). El PC1 separa tumor de tejido normal. La forma del punto indica estado HPV (triángulo = HPV+, círculo = HPV−). Las líneas conectan los pares del mismo paciente.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B_volcano.png" descr="Sec0_FigB_volcano.png" title="Sec0_FigB_volca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2.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Volcano plot del contraste Tumor vs. Tejido Normal (TVsS). 666 proteínas diferencialmente expresadas (FDR &lt; 0.05, |log2FC| &gt; 1): 329 sobreexpresadas (naranja) y 337 subexpresadas (azul). Se etiquetan proteínas de interés terapéutico (EGFR, PSMB2, PSMA1, DNMT1, NDUFA9, NDUFS3).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C_heatmap_topDE.png" descr="Sec0_FigC_heatmap_topDE.png" title="Sec0_FigC_heatmap_top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3.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Mapa de calor (Z-score) de las top 40 proteínas DE (20 sobreexpresadas + 20 subexpresadas) en las 20 muestras. Las barras superiores indican condición (tumor/normal) y estado HPV.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D_hallmarks_gsea.png" descr="Sec0_FigD_hallmarks_gsea.png" title="Sec0_FigD_hallmarks_gse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4.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GSEA sobre la colección Hallmarks MSigDB. Barplot horizontal ordenado por NES. Rojo = activado en tumor; azul = reprimido en tumor. Destaca la represión de fosforilación oxidativa (OXPHOS) y la activación de proliferación celular.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estadístico del análisis de expresión diferencial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4066"/>
      </w:tblGrid>
      <w:tr>
        <w:trPr>
          <w:tblHeader/>
        </w:trP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cuantificadas (total)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Proteómica DIA, MaxQuant, 10 pares tumor/normal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mapeadas a Entrez ID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Mapeo con org.Hs.eg.db (Bioconductor)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log2 Fold Change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1.0  (cambio &gt; 2× en escala lineal)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Aplicado sobre contrastes limma TVsS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FDR (adj. p-valor)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0.05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Benjamini-Hochberg (limma/proteoDA)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DE significativas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19.9% del proteoma cuantificado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Sobreexpresadas en tumor (up)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49.4%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Subexpresadas en tumor (down)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HPV+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pacientes / 12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M3, M5, M6, M7, M9, M10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HPV−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pacientes / 8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M1, M2, M4, M8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40 proteínas diferencialmente expresadas (20 up + 20 down)</w:t>
      </w:r>
    </w:p>
    <w:tbl>
      <w:tblPr>
        <w:tblW w:type="dxa" w:w="8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600"/>
        <w:gridCol w:w="2466"/>
      </w:tblGrid>
      <w:tr>
        <w:trPr>
          <w:tblHeader/>
        </w:trP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UniProt ID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log2FC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FDR (adj.p)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Dirección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PHKA1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P46020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0.00613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Q13751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LAMA3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Q16787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SERPINE1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3.093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0.00946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PTK7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Q13308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3.079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IL36RN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Q9UBH0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3.043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0.0185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TNC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P24821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ISG15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P05161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FRRS1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Q6ZNA5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0.00861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RNASE2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P10153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P02462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LSM7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Q9UK45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0.00755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STARD5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Q9NSY2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EIF2S3B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Q2VIR3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0.0128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P53999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2.635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MCM3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P25205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0.00876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CTHRC1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Q96CG8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PSPH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P78330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2.541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0.00454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HMGB3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O15347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0.0473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P08572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2.516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6.39e-4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SLC25A4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P12235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-5.99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MYLPF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Q96A32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-5.291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9.32e-4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HSPB6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O14558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-4.923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P10916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-4.907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CASQ1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P31415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-4.84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SYPL2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Q5VXT5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-4.724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0.00221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FHL1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Q13642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-4.701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Q9UKX2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-4.685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P08590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P12883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-4.573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Q8TDL5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-4.415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CRYAB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P02511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-4.342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O75112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-4.268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Q9NP55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-4.167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PYGM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P11217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-4.013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0.00219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P05976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GPD1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P21695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-3.997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TCAP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O15273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-3.932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PADI2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Q9Y2J8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-3.859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0.00275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ATP2A1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O14983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-3.756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Específico 1 — Relacionar proteínas DE con fármacos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A_drug_sources_bar.png" descr="OE1_FigA_drug_sources_bar.png" title="OE1_FigA_drug_sources_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5.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Número de fármacos candidatos identificados por cada base de datos consultada (DGIdb, OpenTargets, L2S2, ChEMBL). Ilustra la estrategia multi-fuente y la cobertura diferencial de cada recurso.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B_drug_phase_dist.png" descr="OE1_FigB_drug_phase_dist.png" title="OE1_FigB_drug_phase_d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6.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Distribución de fases clínicas de los fármacos identificados. La mayoría son fármacos aprobados (Fase IV), lo que garantiza un perfil de seguridad establecido y viabilidad de reposicionamiento inmediato.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3848100"/>
            <wp:effectExtent t="0" r="0" b="0" l="0"/>
            <wp:docPr id="1" name="OE1_FigC_upset_sources.png" descr="OE1_FigC_upset_sources.png" title="OE1_FigC_upset_sourc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7.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Diagrama UpSet de solapamiento entre las cuatro bases de datos consultadas. Los candidatos con respaldo en múltiples fuentes (intersección) representan la evidencia más convergente y constituyen el núcleo de mayor prioridad para OE2.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160"/>
      </w:pPr>
    </w:p>
    <w:p>
      <w:pPr>
        <w:spacing w:after="0" w:before="80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OE2 y OE3 pendientes de planificación  •  hnscc_drug_repurposing  •  2026-04-11</w:t>
      </w: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c50571639264d1743a569e4d52723ae8621a71c9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602394d53d86138ec278dc87c1f768089fd63b41.png"/><Relationship Id="rId13" Type="http://schemas.openxmlformats.org/officeDocument/2006/relationships/image" Target="media/e99cd125e0ca7e2665018733fde98e5f6e44ac0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2026-04-11T22:21:24.656Z</dcterms:created>
  <dcterms:modified xsi:type="dcterms:W3CDTF">2026-04-11T22:21:24.656Z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