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 and Results only. Discussion, Abstract, Title and complete Methods/Results citations are pending (WRITING_PLAN.md steps 5–8). Citations shown are PubMed-verified; the bibliography is generated automatically by pandoc.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</w:t>
      </w:r>
      <w:r>
        <w:t xml:space="preserve"> </w:t>
      </w:r>
      <w:r>
        <w:t xml:space="preserve">(Johnson et al. 2020; Sung et al. 2021)</w:t>
      </w:r>
      <w:r>
        <w:t xml:space="preserve"> </w:t>
      </w:r>
      <w:r>
        <w:t xml:space="preserve">Despite advances across surgery,</w:t>
      </w:r>
      <w:r>
        <w:t xml:space="preserve"> </w:t>
      </w:r>
      <w:r>
        <w:t xml:space="preserve">radiotherapy, chemotherapy, and immunotherapy, clinical outcomes are still suboptimal,</w:t>
      </w:r>
      <w:r>
        <w:t xml:space="preserve"> </w:t>
      </w:r>
      <w:r>
        <w:t xml:space="preserve">reflecting the biological complexity of the disease.</w:t>
      </w:r>
      <w:r>
        <w:t xml:space="preserve"> </w:t>
      </w:r>
      <w:r>
        <w:t xml:space="preserve">(Johnson et al. 2020)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</w:t>
      </w:r>
      <w:r>
        <w:t xml:space="preserve"> </w:t>
      </w:r>
      <w:r>
        <w:t xml:space="preserve">(</w:t>
      </w:r>
      <w:r>
        <w:t xml:space="preserve">Burtness et al.</w:t>
      </w:r>
      <w:r>
        <w:t xml:space="preserve"> </w:t>
      </w:r>
      <w:r>
        <w:t xml:space="preserve">2019)</w:t>
      </w:r>
      <w:r>
        <w:t xml:space="preserve"> </w:t>
      </w:r>
      <w:r>
        <w:t xml:space="preserve">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(Imamura et al. 2025)</w:t>
      </w:r>
      <w:r>
        <w:t xml:space="preserve"> </w:t>
      </w:r>
      <w:r>
        <w:t xml:space="preserve">These milestones underscore the need to identify new molecular</w:t>
      </w:r>
      <w:r>
        <w:t xml:space="preserve"> </w:t>
      </w:r>
      <w:r>
        <w:t xml:space="preserve">signatures and therapeutic targets to optimize systemic and perioperative strategies.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tumours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tumour.</w:t>
      </w:r>
      <w:r>
        <w:t xml:space="preserve"> </w:t>
      </w:r>
      <w:r>
        <w:t xml:space="preserve">(</w:t>
      </w:r>
      <w:r>
        <w:t xml:space="preserve">Ang et al.</w:t>
      </w:r>
      <w:r>
        <w:t xml:space="preserve"> </w:t>
      </w:r>
      <w:r>
        <w:t xml:space="preserve">2010)</w:t>
      </w:r>
      <w:r>
        <w:t xml:space="preserve"> </w:t>
      </w:r>
      <w:r>
        <w:t xml:space="preserve">In this context, proteomics provides a direct readout of the functional tumour phenotype:</w:t>
      </w:r>
      <w:r>
        <w:t xml:space="preserve"> </w:t>
      </w:r>
      <w:r>
        <w:t xml:space="preserve">unlike genomic or transcriptomic profiles, the proteome reflects cellular activity integrating</w:t>
      </w:r>
      <w:r>
        <w:t xml:space="preserve"> </w:t>
      </w:r>
      <w:r>
        <w:t xml:space="preserve">post-transcriptional and post-translational regulation.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 </w:t>
      </w:r>
      <w:r>
        <w:t xml:space="preserve">Proteomic studies have implicated EGFR signalling, energy metabolism, epigenetic regulation, and</w:t>
      </w:r>
      <w:r>
        <w:t xml:space="preserve"> </w:t>
      </w:r>
      <w:r>
        <w:t xml:space="preserve">the tumour microenvironment as recurrently altered programmes in HNSCC.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</w:p>
    <w:p>
      <w:pPr>
        <w:pStyle w:val="BodyText"/>
      </w:pPr>
      <w:r>
        <w:t xml:space="preserve">Drug repurposing (redeploying approved compounds with established safety profiles) is an</w:t>
      </w:r>
      <w:r>
        <w:t xml:space="preserve"> </w:t>
      </w:r>
      <w:r>
        <w:t xml:space="preserve">efficient route to accelerate the identification of new therapeutic options, and integrating</w:t>
      </w:r>
      <w:r>
        <w:t xml:space="preserve"> </w:t>
      </w:r>
      <w:r>
        <w:t xml:space="preserve">tumour molecular signatures with pharmacological-connectivity resources can nominate agents</w:t>
      </w:r>
      <w:r>
        <w:t xml:space="preserve"> </w:t>
      </w:r>
      <w:r>
        <w:t xml:space="preserve">predicted to reverse a disease state.</w:t>
      </w:r>
      <w:r>
        <w:t xml:space="preserve"> </w:t>
      </w:r>
      <w:r>
        <w:t xml:space="preserve">(</w:t>
      </w:r>
      <w:r>
        <w:t xml:space="preserve">Pushpakom et al.</w:t>
      </w:r>
      <w:r>
        <w:t xml:space="preserve"> </w:t>
      </w:r>
      <w:r>
        <w:t xml:space="preserve">2019)</w:t>
      </w:r>
      <w:r>
        <w:t xml:space="preserve"> </w:t>
      </w:r>
      <w:r>
        <w:t xml:space="preserve">For such a</w:t>
      </w:r>
      <w:r>
        <w:t xml:space="preserve"> </w:t>
      </w:r>
      <w:r>
        <w:t xml:space="preserve">candidate list to be useful to a translational reader, however, it would ideally be both</w:t>
      </w:r>
      <w:r>
        <w:t xml:space="preserve"> </w:t>
      </w:r>
      <w:r>
        <w:t xml:space="preserve">credible (distinguishing targets that occupy a central position in the tumour’s molecular</w:t>
      </w:r>
      <w:r>
        <w:t xml:space="preserve"> </w:t>
      </w:r>
      <w:r>
        <w:t xml:space="preserve">network from those that are merely strongly altered) and actionable, accounting for whether the</w:t>
      </w:r>
      <w:r>
        <w:t xml:space="preserve"> </w:t>
      </w:r>
      <w:r>
        <w:t xml:space="preserve">nominating drug is realistically deployable (approval status, regulatory class, evidence of</w:t>
      </w:r>
      <w:r>
        <w:t xml:space="preserve"> </w:t>
      </w:r>
      <w:r>
        <w:t xml:space="preserve">transcriptomic reversal) and whether its target directionality holds beyond a single cohort.</w:t>
      </w:r>
      <w:r>
        <w:t xml:space="preserve"> </w:t>
      </w:r>
      <w:r>
        <w:t xml:space="preserve">(Any comparative claim regarding existing pipelines is kept tentative pending citation.)</w:t>
      </w:r>
    </w:p>
    <w:p>
      <w:pPr>
        <w:pStyle w:val="BodyText"/>
      </w:pPr>
      <w:r>
        <w:t xml:space="preserve">Here we address this by integrating quantitative proteomics of paired HNSCC tumours with</w:t>
      </w:r>
      <w:r>
        <w:t xml:space="preserve"> </w:t>
      </w:r>
      <w:r>
        <w:t xml:space="preserve">multi-source pharmacological evidence and protein–protein interaction network structure to derive</w:t>
      </w:r>
      <w:r>
        <w:t xml:space="preserve"> </w:t>
      </w:r>
      <w:r>
        <w:t xml:space="preserve">a credible, mechanistically organized shortlist of repurposing candidates. Candidates are</w:t>
      </w:r>
      <w:r>
        <w:t xml:space="preserve"> </w:t>
      </w:r>
      <w:r>
        <w:t xml:space="preserve">prioritized not by fold-change magnitude alone but by the biological position of their target in</w:t>
      </w:r>
      <w:r>
        <w:t xml:space="preserve"> </w:t>
      </w:r>
      <w:r>
        <w:t xml:space="preserve">the tumour network together with the deployability of the drug, and the resulting ranking is</w:t>
      </w:r>
      <w:r>
        <w:t xml:space="preserve"> </w:t>
      </w:r>
      <w:r>
        <w:t xml:space="preserve">evaluated against a built-in internal control (recovery of the EGFR axis, the principal target</w:t>
      </w:r>
      <w:r>
        <w:t xml:space="preserve"> </w:t>
      </w:r>
      <w:r>
        <w:t xml:space="preserve">with established approved therapy in HNSCC) and corroborated for target directionality in two</w:t>
      </w:r>
      <w:r>
        <w:t xml:space="preserve"> </w:t>
      </w:r>
      <w:r>
        <w:t xml:space="preserve">independent cohorts (a CPTAC proteome and a TCGA transcriptome). The aim is therefore not only to</w:t>
      </w:r>
      <w:r>
        <w:t xml:space="preserve"> </w:t>
      </w:r>
      <w:r>
        <w:t xml:space="preserve">recover validated targets but also to surface novel, mechanistically interpretable vulnerabilities</w:t>
      </w:r>
      <w:r>
        <w:t xml:space="preserve"> </w:t>
      </w:r>
      <w:r>
        <w:t xml:space="preserve">with immediate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tumour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</w:t>
      </w:r>
      <w:r>
        <w:t xml:space="preserve"> </w:t>
      </w:r>
      <w:r>
        <w:t xml:space="preserve">(Ritchie et al. 2015)</w:t>
      </w:r>
      <w:r>
        <w:t xml:space="preserve">, a limma wrapper, for the primary tumour-versus-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</w:t>
      </w:r>
      <w:r>
        <w:t xml:space="preserve"> </w:t>
      </w:r>
      <w:r>
        <w:t xml:space="preserve">(</w:t>
      </w:r>
      <w:r>
        <w:t xml:space="preserve">Wu et al.</w:t>
      </w:r>
      <w:r>
        <w:t xml:space="preserve"> </w:t>
      </w:r>
      <w:r>
        <w:t xml:space="preserve">2021)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</w:t>
      </w:r>
      <w:r>
        <w:t xml:space="preserve"> </w:t>
      </w:r>
      <w:r>
        <w:t xml:space="preserve">(</w:t>
      </w:r>
      <w:r>
        <w:t xml:space="preserve">Subramanian et al.</w:t>
      </w:r>
      <w:r>
        <w:t xml:space="preserve"> </w:t>
      </w:r>
      <w:r>
        <w:t xml:space="preserve">2005)</w:t>
      </w:r>
      <w:r>
        <w:t xml:space="preserve"> </w:t>
      </w:r>
      <w:r>
        <w:t xml:space="preserve">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</w:t>
      </w:r>
      <w:r>
        <w:t xml:space="preserve"> </w:t>
      </w:r>
      <w:r>
        <w:t xml:space="preserve">(Liberzon et al. 2015)</w:t>
      </w:r>
      <w:r>
        <w:t xml:space="preserve">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 The Hallmark result is shown in</w:t>
      </w:r>
      <w:r>
        <w:t xml:space="preserve"> </w:t>
      </w:r>
      <w:r>
        <w:t xml:space="preserve">Figure 2C.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</w:t>
      </w:r>
      <w:r>
        <w:t xml:space="preserve"> </w:t>
      </w:r>
      <w:r>
        <w:t xml:space="preserve">(Freshour et al. 2021)</w:t>
      </w:r>
      <w:r>
        <w:t xml:space="preserve"> </w:t>
      </w:r>
      <w:r>
        <w:t xml:space="preserve">(GraphQL</w:t>
      </w:r>
      <w:r>
        <w:t xml:space="preserve"> </w:t>
      </w:r>
      <w:r>
        <w:t xml:space="preserve">API v5), ChEMBL</w:t>
      </w:r>
      <w:r>
        <w:t xml:space="preserve"> </w:t>
      </w:r>
      <w:r>
        <w:t xml:space="preserve">(</w:t>
      </w:r>
      <w:r>
        <w:t xml:space="preserve">Mendez et al.</w:t>
      </w:r>
      <w:r>
        <w:t xml:space="preserve"> </w:t>
      </w:r>
      <w:r>
        <w:t xml:space="preserve">2019)</w:t>
      </w:r>
      <w:r>
        <w:t xml:space="preserve"> </w:t>
      </w:r>
      <w:r>
        <w:t xml:space="preserve">(REST API v33, clinical phase ≥ 3), Open Targets</w:t>
      </w:r>
      <w:r>
        <w:t xml:space="preserve"> </w:t>
      </w:r>
      <w:r>
        <w:t xml:space="preserve">(</w:t>
      </w:r>
      <w:r>
        <w:t xml:space="preserve">Ochoa et al.</w:t>
      </w:r>
      <w:r>
        <w:t xml:space="preserve"> </w:t>
      </w:r>
      <w:r>
        <w:t xml:space="preserve">2021)</w:t>
      </w:r>
      <w:r>
        <w:t xml:space="preserve"> </w:t>
      </w:r>
      <w:r>
        <w:t xml:space="preserve">(GraphQL API; HNSCC association</w:t>
      </w:r>
      <w:r>
        <w:t xml:space="preserve"> </w:t>
      </w:r>
      <w:r>
        <w:t xml:space="preserve">EFO_0000181 and known drugs), and L2S2</w:t>
      </w:r>
      <w:r>
        <w:t xml:space="preserve"> </w:t>
      </w:r>
      <w:r>
        <w:t xml:space="preserve">(Evangelista et al. 2025)</w:t>
      </w:r>
      <w:r>
        <w:t xml:space="preserve"> </w:t>
      </w:r>
      <w:r>
        <w:t xml:space="preserve">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known mismatches: three agents were reassigned to class A</w:t>
      </w:r>
      <w:r>
        <w:t xml:space="preserve"> </w:t>
      </w:r>
      <w:r>
        <w:t xml:space="preserve">(cetuximab, pembrolizumab, nivolumab: approved in HNSCC but missed by EFO matching), two from C to</w:t>
      </w:r>
      <w:r>
        <w:t xml:space="preserve"> </w:t>
      </w:r>
      <w:r>
        <w:t xml:space="preserve">B (neratinib, lazertinib), and two from B to C (digoxin, digitoxin: cardiac glycosides with</w:t>
      </w:r>
      <w:r>
        <w:t xml:space="preserve"> </w:t>
      </w:r>
      <w:r>
        <w:t xml:space="preserve">oncology trials but no oncological approval); all overrides are documented in the analysis code.</w:t>
      </w:r>
      <w:r>
        <w:t xml:space="preserve"> </w:t>
      </w:r>
      <w:r>
        <w:t xml:space="preserve">The candidate set entering prioritization (n = 458) comprised drugs supported by ≥ 2 databases or</w:t>
      </w:r>
      <w:r>
        <w:t xml:space="preserve"> </w:t>
      </w:r>
      <w:r>
        <w:t xml:space="preserve">already approved (class A/B retained even if single-source), after removal of a curated exclusion</w:t>
      </w:r>
      <w:r>
        <w:t xml:space="preserve"> </w:t>
      </w:r>
      <w:r>
        <w:t xml:space="preserve">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</w:t>
      </w:r>
      <w:r>
        <w:t xml:space="preserve"> </w:t>
      </w:r>
      <w:r>
        <w:t xml:space="preserve">(</w:t>
      </w:r>
      <w:r>
        <w:t xml:space="preserve">Szklarczyk et al.</w:t>
      </w:r>
      <w:r>
        <w:t xml:space="preserve"> </w:t>
      </w:r>
      <w:r>
        <w:t xml:space="preserve">2023)</w:t>
      </w:r>
      <w:r>
        <w:t xml:space="preserve"> </w:t>
      </w:r>
      <w:r>
        <w:t xml:space="preserve">v12 (combined score ≥ 700). Its giant component (521 proteins, 2,714 interactions) was</w:t>
      </w:r>
      <w:r>
        <w:t xml:space="preserve"> </w:t>
      </w:r>
      <w:r>
        <w:t xml:space="preserve">characterized by degree, betweenness, and eigenvector centrality (igraph v2.2.2); hubs were defined</w:t>
      </w:r>
      <w:r>
        <w:t xml:space="preserve"> </w:t>
      </w:r>
      <w:r>
        <w:t xml:space="preserve">as the top decile by degree. Louvain community detection partitioned the giant component into 13</w:t>
      </w:r>
      <w:r>
        <w:t xml:space="preserve"> </w:t>
      </w:r>
      <w:r>
        <w:t xml:space="preserve">modules, each named by its top-enriched GO Biological Process term. Druggable hubs (n = 99) were</w:t>
      </w:r>
      <w:r>
        <w:t xml:space="preserve"> </w:t>
      </w:r>
      <w:r>
        <w:t xml:space="preserve">hubs intersecting the drug-target set; module drugability tier was assigned data-driven (containing</w:t>
      </w:r>
      <w:r>
        <w:t xml:space="preserve"> </w:t>
      </w:r>
      <w:r>
        <w:t xml:space="preserve">an approved-drug target; druggable hubs only; or below threshold). Grey/below-threshold modules</w:t>
      </w:r>
      <w:r>
        <w:t xml:space="preserve"> </w:t>
      </w:r>
      <w:r>
        <w:t xml:space="preserve">still contained druggable hubs (36 of 99) and prioritized targets (e.g., DNMT1).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consequently, under-abundant targets (including potential loss-of-function/tumour-</w:t>
      </w:r>
      <w:r>
        <w:t xml:space="preserve"> </w:t>
      </w:r>
      <w:r>
        <w:t xml:space="preserve">suppressor nodes) are structurally down-weighted by this term, and metabolic targets such as</w:t>
      </w:r>
      <w:r>
        <w:t xml:space="preserve"> </w:t>
      </w:r>
      <w:r>
        <w:t xml:space="preserve">Complex I subunits are prioritized through direction-independent centrality and external evidence</w:t>
      </w:r>
      <w:r>
        <w:t xml:space="preserve"> </w:t>
      </w:r>
      <w:r>
        <w:t xml:space="preserve">rather than through π.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attributed to its most-central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The composite is strongly correlated</w:t>
      </w:r>
      <w:r>
        <w:t xml:space="preserve"> </w:t>
      </w:r>
      <w:r>
        <w:t xml:space="preserve">with network centrality alone (Spearman ρ ≈ 0.78); network topology is the dominant driver by</w:t>
      </w:r>
      <w:r>
        <w:t xml:space="preserve"> </w:t>
      </w:r>
      <w:r>
        <w:t xml:space="preserve">design, with DrugViability acting primarily as a clinical/pharmacological tie-breaker among agents</w:t>
      </w:r>
      <w:r>
        <w:t xml:space="preserve"> </w:t>
      </w:r>
      <w:r>
        <w:t xml:space="preserve">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validity rests on positive-control recovery (approved EGFR-axis agents), robustness to</w:t>
      </w:r>
      <w:r>
        <w:t xml:space="preserve"> </w:t>
      </w:r>
      <w:r>
        <w:t xml:space="preserve">weighting/database choices, and external corroboration, not on a 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analysed by the same method as discovery (paired limma with duplicateCorrelation</w:t>
      </w:r>
      <w:r>
        <w:t xml:space="preserve"> </w:t>
      </w:r>
      <w:r>
        <w:t xml:space="preserve">blocking on patient; 116 tumour / 66 normal, 66 pairs); CPTAC log₂FC correlated with the DIA log₂FC</w:t>
      </w:r>
      <w:r>
        <w:t xml:space="preserve"> </w:t>
      </w:r>
      <w:r>
        <w:t xml:space="preserve">across 636 shared genes (Pearson r = 0.789, P = 4.9 × 10⁻¹³⁶; 86.3% directional concordance). The</w:t>
      </w:r>
      <w:r>
        <w:t xml:space="preserve"> </w:t>
      </w:r>
      <w:r>
        <w:t xml:space="preserve">TCGA-HNSC transcriptome (STAR-Counts via TCGAbiolinks; 520 tumour / 44 normal) was analysed with</w:t>
      </w:r>
      <w:r>
        <w:t xml:space="preserve"> </w:t>
      </w:r>
      <w:r>
        <w:t xml:space="preserve">DESeq2 (v1.44); TCGA log₂FC correlated with the DIA log₂FC across 663 shared genes (r = 0.601,</w:t>
      </w:r>
      <w:r>
        <w:t xml:space="preserve"> </w:t>
      </w:r>
      <w:r>
        <w:t xml:space="preserve">P = 2.7 × 10⁻⁶⁶; 76.2% concordance). For the 14 shortlist anchor targets, per-gene log₂FC and</w:t>
      </w:r>
      <w:r>
        <w:t xml:space="preserve"> </w:t>
      </w:r>
      <w:r>
        <w:t xml:space="preserve">adjusted P were compared against the DIA proteome in both cohorts (concordance and FDR &lt; 0.05</w:t>
      </w:r>
      <w:r>
        <w:t xml:space="preserve"> </w:t>
      </w:r>
      <w:r>
        <w:t xml:space="preserve">annotated per target). As a supplementary analysis, overall survival was stratified by median</w:t>
      </w:r>
      <w:r>
        <w:t xml:space="preserve"> </w:t>
      </w:r>
      <w:r>
        <w:t xml:space="preserve">expression of four module-representative genes (EGFR, PSMB10, DNMT1, NDUFS3) in TCGA-HNSC (476</w:t>
      </w:r>
      <w:r>
        <w:t xml:space="preserve"> </w:t>
      </w:r>
      <w:r>
        <w:t xml:space="preserve">patients with survival data, log-rank); all comparisons were non-significant (P = 0.098–0.422),</w:t>
      </w:r>
      <w:r>
        <w:t xml:space="preserve"> </w:t>
      </w:r>
      <w:r>
        <w:t xml:space="preserve">consistent with these targets being therapeutic vulnerabilities rather than prognostic biomarkers.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Analysis parameters are version-</w:t>
      </w:r>
      <w:r>
        <w:t xml:space="preserve"> </w:t>
      </w:r>
      <w:r>
        <w:t xml:space="preserve">controlled in</w:t>
      </w:r>
      <w:r>
        <w:t xml:space="preserve"> </w:t>
      </w:r>
      <w:r>
        <w:rPr>
          <w:rStyle w:val="VerbatimChar"/>
        </w:rPr>
        <w:t xml:space="preserve">config/analysis_params.yaml</w:t>
      </w:r>
      <w:r>
        <w:t xml:space="preserve">, figure styling is centralized, and the execution order</w:t>
      </w:r>
      <w:r>
        <w:t xml:space="preserve"> </w:t>
      </w:r>
      <w:r>
        <w:t xml:space="preserve">is documented in the project runbook.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c9138fdc36493c81ee1bfb7d0eea8ffe3deab31"/>
    <w:p>
      <w:pPr>
        <w:pStyle w:val="Heading3"/>
      </w:pPr>
      <w:r>
        <w:t xml:space="preserve">The HNSCC tumour proteome is broadly and coherently remodelled</w:t>
      </w:r>
    </w:p>
    <w:p>
      <w:pPr>
        <w:pStyle w:val="FirstParagraph"/>
      </w:pPr>
      <w:r>
        <w:t xml:space="preserve">Data-independent acquisition proteomics of ten paired tumour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tumour relative to adjacent-normal tissue (Fig 2A; Table S1). The cohort included six</w:t>
      </w:r>
      <w:r>
        <w:t xml:space="preserve"> </w:t>
      </w:r>
      <w:r>
        <w:t xml:space="preserve">HPV-positive and four HPV-negative patients. Gene-set enrichment analysis against the 50 MSigDB</w:t>
      </w:r>
      <w:r>
        <w:t xml:space="preserve"> </w:t>
      </w:r>
      <w:r>
        <w:t xml:space="preserve">Hallmark gene sets returned 11 significantly enriched programmes (FDR &lt; 0.05; Fig 2C). The most</w:t>
      </w:r>
      <w:r>
        <w:t xml:space="preserve"> </w:t>
      </w:r>
      <w:r>
        <w:t xml:space="preserve">strongly down-regulated signature was oxidative phosphorylation (NES = −2.21), consistent with a</w:t>
      </w:r>
      <w:r>
        <w:t xml:space="preserve"> </w:t>
      </w:r>
      <w:r>
        <w:t xml:space="preserve">glycolytic metabolic shift, followed by 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BPIFB1), reflecting the</w:t>
      </w:r>
      <w:r>
        <w:t xml:space="preserve"> </w:t>
      </w:r>
      <w:r>
        <w:t xml:space="preserve">muscle- and mucosa-rich composition of adjacent-normal tongue and larynx specimens.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To ensure that downstream conclusions were not driven by tissue composition, we</w:t>
      </w:r>
      <w:r>
        <w:t xml:space="preserve"> </w:t>
      </w:r>
      <w:r>
        <w:t xml:space="preserve">repeated the enrichment and network analyses after excluding these markers: the hub status of all</w:t>
      </w:r>
      <w:r>
        <w:t xml:space="preserve"> </w:t>
      </w:r>
      <w:r>
        <w:t xml:space="preserve">prioritized targets was unchanged (e.g., NDUFS2 degree 51→51; EGFR 24→23), the</w:t>
      </w:r>
      <w:r>
        <w:t xml:space="preserve"> </w:t>
      </w:r>
      <w:r>
        <w:t xml:space="preserve">oxidative-phosphorylation signature was retained and slightly strengthened (NES −2.21→−2.32), and</w:t>
      </w:r>
      <w:r>
        <w:t xml:space="preserve"> </w:t>
      </w:r>
      <w:r>
        <w:t xml:space="preserve">only the myogenesis hallmark was materially attenuated (NES −2.00→−1.56) (Table S2; sensitivity</w:t>
      </w:r>
      <w:r>
        <w:t xml:space="preserve"> </w:t>
      </w:r>
      <w:r>
        <w:t xml:space="preserve">analysis). Conclusions regarding prioritized targets and the OXPHOS axis are therefore robust to</w:t>
      </w:r>
      <w:r>
        <w:t xml:space="preserve"> </w:t>
      </w:r>
      <w:r>
        <w:t xml:space="preserve">this confound.</w:t>
      </w:r>
    </w:p>
    <w:bookmarkEnd w:id="19"/>
    <w:bookmarkStart w:id="20" w:name="X92453b7d215d9e8ae30332484cbd717adfa0c9b"/>
    <w:p>
      <w:pPr>
        <w:pStyle w:val="Heading3"/>
      </w:pPr>
      <w:r>
        <w:t xml:space="preserve">A reproducible, 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structure confirmed that candidates were not the artefact of any single database (Fig 3C). The</w:t>
      </w:r>
      <w:r>
        <w:t xml:space="preserve"> </w:t>
      </w:r>
      <w:r>
        <w:t xml:space="preserve">complete selection funnel is provided in Fig S1.</w:t>
      </w:r>
    </w:p>
    <w:bookmarkEnd w:id="20"/>
    <w:bookmarkStart w:id="21" w:name="Xfcea29522a03e0a996ddb60f80ba3d538d88f4e"/>
    <w:p>
      <w:pPr>
        <w:pStyle w:val="Heading3"/>
      </w:pPr>
      <w:r>
        <w:t xml:space="preserve">Network structure organizes targets into druggable mechanistic axes</w:t>
      </w:r>
    </w:p>
    <w:p>
      <w:pPr>
        <w:pStyle w:val="FirstParagraph"/>
      </w:pPr>
      <w:r>
        <w:t xml:space="preserve">To prioritize by biological position rather than fold-change magnitude alone, candidate targets</w:t>
      </w:r>
      <w:r>
        <w:t xml:space="preserve"> </w:t>
      </w:r>
      <w:r>
        <w:t xml:space="preserve">were embedded in a tumour protein–protein interaction network (STRING) and partitioned into</w:t>
      </w:r>
      <w:r>
        <w:t xml:space="preserve"> </w:t>
      </w:r>
      <w:r>
        <w:t xml:space="preserve">Louvain modules (Fig 4A), which carried 99 druggable hubs (Methods).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threshold); the most prominent axes corresponded to EGFR signalling, oxidative</w:t>
      </w:r>
      <w:r>
        <w:t xml:space="preserve"> </w:t>
      </w:r>
      <w:r>
        <w:t xml:space="preserve">phosphorylation, the proteasome, and epigenetic regulation.</w:t>
      </w:r>
    </w:p>
    <w:bookmarkEnd w:id="21"/>
    <w:bookmarkStart w:id="22" w:name="Xc45543ce8bdb3ea64ed04ff56dd6a17685dbd86"/>
    <w:p>
      <w:pPr>
        <w:pStyle w:val="Heading3"/>
      </w:pPr>
      <w:r>
        <w:t xml:space="preserve">A two-factor prioritization recovers known therapy and surfaces novel candidates</w:t>
      </w:r>
    </w:p>
    <w:p>
      <w:pPr>
        <w:pStyle w:val="FirstParagraph"/>
      </w:pPr>
      <w:r>
        <w:t xml:space="preserve">Each candidate was scored by a composite combining the biological priority of its target and the</w:t>
      </w:r>
      <w:r>
        <w:t xml:space="preserve"> </w:t>
      </w:r>
      <w:r>
        <w:t xml:space="preserve">deployability of the drug (</w:t>
      </w:r>
      <w:r>
        <w:rPr>
          <w:rStyle w:val="VerbatimChar"/>
        </w:rPr>
        <w:t xml:space="preserve">composite = 0.60·TargetPriority + 0.40·DrugViability</w:t>
      </w:r>
      <w:r>
        <w:t xml:space="preserve">), with every drug</w:t>
      </w:r>
      <w:r>
        <w:t xml:space="preserve"> </w:t>
      </w:r>
      <w:r>
        <w:t xml:space="preserve">anchored to its most credible central target through a curated ChEMBL/Open Targets edge (Fig 5;</w:t>
      </w:r>
      <w:r>
        <w:t xml:space="preserve"> </w:t>
      </w:r>
      <w:r>
        <w:t xml:space="preserve">Table 1). TargetPriority integrates network centrality with directional differential abundance,</w:t>
      </w:r>
      <w:r>
        <w:t xml:space="preserve"> </w:t>
      </w:r>
      <w:r>
        <w:t xml:space="preserve">and DrugViability integrates transcriptomic reversal (L2S2), regulatory class, and source breadth</w:t>
      </w:r>
      <w:r>
        <w:t xml:space="preserve"> </w:t>
      </w:r>
      <w:r>
        <w:t xml:space="preserve">(Methods).</w:t>
      </w:r>
    </w:p>
    <w:p>
      <w:pPr>
        <w:pStyle w:val="BodyText"/>
      </w:pPr>
      <w:r>
        <w:t xml:space="preserve">Without any disease-specific tuning, the prioritization elevated the EGFR axis (module M2) to the</w:t>
      </w:r>
      <w:r>
        <w:t xml:space="preserve"> </w:t>
      </w:r>
      <w:r>
        <w:t xml:space="preserve">top of the ranking: cetuximab ranked first (composite 0.73), accompanied by other approved</w:t>
      </w:r>
      <w:r>
        <w:t xml:space="preserve"> </w:t>
      </w:r>
      <w:r>
        <w:t xml:space="preserve">EGFR-directed agents (nimotuzumab, panitumumab, gefitinib, afatinib) (Table 1, EGFR control</w:t>
      </w:r>
      <w:r>
        <w:t xml:space="preserve"> </w:t>
      </w:r>
      <w:r>
        <w:t xml:space="preserve">block). Because EGFR is the principal molecular target with established approved therapy in HNSCC,</w:t>
      </w:r>
      <w:r>
        <w:t xml:space="preserve"> </w:t>
      </w:r>
      <w:r>
        <w:t xml:space="preserve">this unsupervised recovery of clinically validated agents serves as an internal positive control</w:t>
      </w:r>
      <w:r>
        <w:t xml:space="preserve"> </w:t>
      </w:r>
      <w:r>
        <w:t xml:space="preserve">for the method, supporting the credibility of its other nominations.</w:t>
      </w:r>
    </w:p>
    <w:p>
      <w:pPr>
        <w:pStyle w:val="BodyText"/>
      </w:pPr>
      <w:r>
        <w:t xml:space="preserve">Beyond this control, the shortlist resolved into two interpretable tiers (Table 1; Fig 5A). The</w:t>
      </w:r>
      <w:r>
        <w:t xml:space="preserve"> </w:t>
      </w:r>
      <w:r>
        <w:t xml:space="preserve">hub-central tier comprised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robustly</w:t>
      </w:r>
      <w:r>
        <w:t xml:space="preserve"> </w:t>
      </w:r>
      <w:r>
        <w:t xml:space="preserve">under-abundant in tumour (NDUFS2 log₂FC = −3.05); metformin was prioritized through the high</w:t>
      </w:r>
      <w:r>
        <w:t xml:space="preserve"> </w:t>
      </w:r>
      <w:r>
        <w:t xml:space="preserve">network centrality of its anchor, independent of fold-change direction, and is framed here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comprised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f897869c0bdcefc00fa26d923691eff53548e07"/>
    <w:p>
      <w:pPr>
        <w:pStyle w:val="Heading3"/>
      </w:pPr>
      <w:r>
        <w:t xml:space="preserve">Prioritized-target directionality replicates in two independent cohorts</w:t>
      </w:r>
    </w:p>
    <w:p>
      <w:pPr>
        <w:pStyle w:val="FirstParagraph"/>
      </w:pPr>
      <w:r>
        <w:t xml:space="preserve">To assess generalizability, we asked whether the directionality of the prioritized targets</w:t>
      </w:r>
      <w:r>
        <w:t xml:space="preserve"> </w:t>
      </w:r>
      <w:r>
        <w:t xml:space="preserve">replicated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should be regarded as lower-confidence nominations. These</w:t>
      </w:r>
      <w:r>
        <w:t xml:space="preserve"> </w:t>
      </w:r>
      <w:r>
        <w:t xml:space="preserve">cohorts corroborate the directionality of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the-ranking-is-robust-to-scoring-choices"/>
    <w:p>
      <w:pPr>
        <w:pStyle w:val="Heading3"/>
      </w:pPr>
      <w:r>
        <w:t xml:space="preserve">The ranking is robust to scoring choices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S2).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 Consistent with their nomination as</w:t>
      </w:r>
      <w:r>
        <w:t xml:space="preserve"> </w:t>
      </w:r>
      <w:r>
        <w:t xml:space="preserve">therapeutic vulnerabilities rather than prognostic markers, none of the four pillar genes (EGFR,</w:t>
      </w:r>
      <w:r>
        <w:t xml:space="preserve"> </w:t>
      </w:r>
      <w:r>
        <w:t xml:space="preserve">PSMB10, DNMT1, NDUFS3) was significantly associated with overall survival in TCGA-HNSC (all</w:t>
      </w:r>
      <w:r>
        <w:t xml:space="preserve"> </w:t>
      </w:r>
      <w:r>
        <w:t xml:space="preserve">p &gt; 0.05; Fig S3).</w:t>
      </w:r>
    </w:p>
    <w:bookmarkEnd w:id="24"/>
    <w:bookmarkEnd w:id="25"/>
    <w:bookmarkEnd w:id="2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28" w:name="ref-ang2010"/>
    <w:p>
      <w:pPr>
        <w:pStyle w:val="Bibliography"/>
      </w:pPr>
      <w:r>
        <w:t xml:space="preserve">Ang, K Kian, Jonathan Harris, Richard Wheeler, et al.</w:t>
      </w:r>
      <w:r>
        <w:t xml:space="preserve"> 2010.</w:t>
      </w:r>
      <w:r>
        <w:t xml:space="preserve"> </w:t>
      </w:r>
      <w:r>
        <w:t xml:space="preserve">“Human Papillomavirus and Survival of Patients with Oropharyngeal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363 (1): 24–35.</w:t>
      </w:r>
      <w:r>
        <w:t xml:space="preserve"> </w:t>
      </w:r>
      <w:hyperlink r:id="rId27">
        <w:r>
          <w:rPr>
            <w:rStyle w:val="Hyperlink"/>
          </w:rPr>
          <w:t xml:space="preserve">https://doi.org/10.1056/NEJMoa0912217</w:t>
        </w:r>
      </w:hyperlink>
      <w:r>
        <w:t xml:space="preserve">.</w:t>
      </w:r>
    </w:p>
    <w:bookmarkEnd w:id="28"/>
    <w:bookmarkStart w:id="30" w:name="ref-burtness2019"/>
    <w:p>
      <w:pPr>
        <w:pStyle w:val="Bibliography"/>
      </w:pPr>
      <w:r>
        <w:t xml:space="preserve">Burtness, Barbara, Kevin J Harrington, Richard Greil, et al.</w:t>
      </w:r>
      <w:r>
        <w:t xml:space="preserve"> 2019.</w:t>
      </w:r>
      <w:r>
        <w:t xml:space="preserve"> </w:t>
      </w:r>
      <w:r>
        <w:t xml:space="preserve">“Pembrolizumab Alone or with Chemotherapy Versus Cetuximab with Chemotherapy for Recurrent or Metastatic Squamous Cell Carcinoma of the Head and Neck (KEYNOTE-048): A Randomised, Open-Label, Phase 3 Study.”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394 (10212): 1915–28.</w:t>
      </w:r>
      <w:r>
        <w:t xml:space="preserve"> </w:t>
      </w:r>
      <w:hyperlink r:id="rId29">
        <w:r>
          <w:rPr>
            <w:rStyle w:val="Hyperlink"/>
          </w:rPr>
          <w:t xml:space="preserve">https://doi.org/10.1016/S0140-6736(19)32591-7</w:t>
        </w:r>
      </w:hyperlink>
      <w:r>
        <w:t xml:space="preserve">.</w:t>
      </w:r>
    </w:p>
    <w:bookmarkEnd w:id="30"/>
    <w:bookmarkStart w:id="32" w:name="ref-evangelista2025"/>
    <w:p>
      <w:pPr>
        <w:pStyle w:val="Bibliography"/>
      </w:pPr>
      <w:r>
        <w:t xml:space="preserve">Evangelista, John Erol, Zhuorui Xie, Giacomo B Marino, Nhi Nguyen, Daniel J B Clarke, and Avi Ma’ayan. 2025.</w:t>
      </w:r>
      <w:r>
        <w:t xml:space="preserve"> </w:t>
      </w:r>
      <w:r>
        <w:t xml:space="preserve">“L2S2: Chemical Perturbation and CRISPR KO LINCS L1000 Signature Search Engine.”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53 (W1): W338–44.</w:t>
      </w:r>
      <w:r>
        <w:t xml:space="preserve"> </w:t>
      </w:r>
      <w:hyperlink r:id="rId31">
        <w:r>
          <w:rPr>
            <w:rStyle w:val="Hyperlink"/>
          </w:rPr>
          <w:t xml:space="preserve">https://doi.org/10.1093/nar/gkae1059</w:t>
        </w:r>
      </w:hyperlink>
      <w:r>
        <w:t xml:space="preserve">.</w:t>
      </w:r>
    </w:p>
    <w:bookmarkEnd w:id="32"/>
    <w:bookmarkStart w:id="34" w:name="ref-freshour2021"/>
    <w:p>
      <w:pPr>
        <w:pStyle w:val="Bibliography"/>
      </w:pPr>
      <w:r>
        <w:t xml:space="preserve">Freshour, Sharon L, Susanna Kiwala, Kelsy C Cotto, et al. 2021.</w:t>
      </w:r>
      <w:r>
        <w:t xml:space="preserve"> </w:t>
      </w:r>
      <w:r>
        <w:t xml:space="preserve">“Integration of the Drug-Gene Interaction Database (DGIdb 4.0) with Open Crowdsource Efforts.”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49 (D1): D1144–51.</w:t>
      </w:r>
      <w:r>
        <w:t xml:space="preserve"> </w:t>
      </w:r>
      <w:hyperlink r:id="rId33">
        <w:r>
          <w:rPr>
            <w:rStyle w:val="Hyperlink"/>
          </w:rPr>
          <w:t xml:space="preserve">https://doi.org/10.1093/nar/gkaa1084</w:t>
        </w:r>
      </w:hyperlink>
      <w:r>
        <w:t xml:space="preserve">.</w:t>
      </w:r>
    </w:p>
    <w:bookmarkEnd w:id="34"/>
    <w:bookmarkStart w:id="36" w:name="ref-huang2021"/>
    <w:p>
      <w:pPr>
        <w:pStyle w:val="Bibliography"/>
      </w:pPr>
      <w:r>
        <w:t xml:space="preserve">Huang, Chen, Lijun Chen, Sara R Savage, et al.</w:t>
      </w:r>
      <w:r>
        <w:t xml:space="preserve"> 2021.</w:t>
      </w:r>
      <w:r>
        <w:t xml:space="preserve"> </w:t>
      </w:r>
      <w:r>
        <w:t xml:space="preserve">“Proteogenomic Insights into the Biology and Treatment of HPV-Negative Head and Neck Squamous Cell Carcinoma.”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39 (3): 361–79.</w:t>
      </w:r>
      <w:r>
        <w:t xml:space="preserve"> </w:t>
      </w:r>
      <w:hyperlink r:id="rId35">
        <w:r>
          <w:rPr>
            <w:rStyle w:val="Hyperlink"/>
          </w:rPr>
          <w:t xml:space="preserve">https://doi.org/10.1016/j.ccell.2020.12.007</w:t>
        </w:r>
      </w:hyperlink>
      <w:r>
        <w:t xml:space="preserve">.</w:t>
      </w:r>
    </w:p>
    <w:bookmarkEnd w:id="36"/>
    <w:bookmarkStart w:id="38" w:name="ref-imamura2025"/>
    <w:p>
      <w:pPr>
        <w:pStyle w:val="Bibliography"/>
      </w:pPr>
      <w:r>
        <w:t xml:space="preserve">Imamura, Yoshinori, Masafumi Kanno, and Shigeharu Fujieda. 2025.</w:t>
      </w:r>
      <w:r>
        <w:t xml:space="preserve"> </w:t>
      </w:r>
      <w:r>
        <w:t xml:space="preserve">“Comparative Review of KEYNOTE-689 and NIVOPOSTOP Trials and Their Impact on Perioperative Immunotherapy in Locally Advanced Head and Neck Cancer.”</w:t>
      </w:r>
      <w:r>
        <w:t xml:space="preserve"> </w:t>
      </w:r>
      <w:r>
        <w:rPr>
          <w:i/>
          <w:iCs/>
        </w:rPr>
        <w:t xml:space="preserve">Cancer Treatment Reviews</w:t>
      </w:r>
      <w:r>
        <w:t xml:space="preserve"> </w:t>
      </w:r>
      <w:r>
        <w:t xml:space="preserve">140: 103018.</w:t>
      </w:r>
      <w:r>
        <w:t xml:space="preserve"> </w:t>
      </w:r>
      <w:hyperlink r:id="rId37">
        <w:r>
          <w:rPr>
            <w:rStyle w:val="Hyperlink"/>
          </w:rPr>
          <w:t xml:space="preserve">https://doi.org/10.1016/j.ctrv.2025.103018</w:t>
        </w:r>
      </w:hyperlink>
      <w:r>
        <w:t xml:space="preserve">.</w:t>
      </w:r>
    </w:p>
    <w:bookmarkEnd w:id="38"/>
    <w:bookmarkStart w:id="40" w:name="ref-johnson2020"/>
    <w:p>
      <w:pPr>
        <w:pStyle w:val="Bibliography"/>
      </w:pPr>
      <w:r>
        <w:t xml:space="preserve">Johnson, Daniel E, Barbara Burtness, C René Leemans, Vivian Wai Yan Lui, Julie E Bauman, and Jennifer R Grandis. 2020.</w:t>
      </w:r>
      <w:r>
        <w:t xml:space="preserve"> </w:t>
      </w:r>
      <w:r>
        <w:t xml:space="preserve">“Head and Neck Squamous Cell Carcinoma.”</w:t>
      </w:r>
      <w:r>
        <w:t xml:space="preserve"> </w:t>
      </w:r>
      <w:r>
        <w:rPr>
          <w:i/>
          <w:iCs/>
        </w:rPr>
        <w:t xml:space="preserve">Nature Reviews Disease Primers</w:t>
      </w:r>
      <w:r>
        <w:t xml:space="preserve"> </w:t>
      </w:r>
      <w:r>
        <w:t xml:space="preserve">6: 92.</w:t>
      </w:r>
      <w:r>
        <w:t xml:space="preserve"> </w:t>
      </w:r>
      <w:hyperlink r:id="rId39">
        <w:r>
          <w:rPr>
            <w:rStyle w:val="Hyperlink"/>
          </w:rPr>
          <w:t xml:space="preserve">https://doi.org/10.1038/s41572-020-00224-3</w:t>
        </w:r>
      </w:hyperlink>
      <w:r>
        <w:t xml:space="preserve">.</w:t>
      </w:r>
    </w:p>
    <w:bookmarkEnd w:id="40"/>
    <w:bookmarkStart w:id="42" w:name="ref-liberzon2015"/>
    <w:p>
      <w:pPr>
        <w:pStyle w:val="Bibliography"/>
      </w:pPr>
      <w:r>
        <w:t xml:space="preserve">Liberzon, Arthur, Chet Birger, Helga Thorvaldsdóttir, Mahmoud Ghandi, Jill P Mesirov, and Pablo Tamayo. 2015.</w:t>
      </w:r>
      <w:r>
        <w:t xml:space="preserve"> </w:t>
      </w:r>
      <w:r>
        <w:t xml:space="preserve">“The Molecular Signatures Database (MSigDB) Hallmark Gene Set Collection.”</w:t>
      </w:r>
      <w:r>
        <w:t xml:space="preserve"> </w:t>
      </w:r>
      <w:r>
        <w:rPr>
          <w:i/>
          <w:iCs/>
        </w:rPr>
        <w:t xml:space="preserve">Cell Systems</w:t>
      </w:r>
      <w:r>
        <w:t xml:space="preserve"> </w:t>
      </w:r>
      <w:r>
        <w:t xml:space="preserve">1 (6): 417–25.</w:t>
      </w:r>
      <w:r>
        <w:t xml:space="preserve"> </w:t>
      </w:r>
      <w:hyperlink r:id="rId41">
        <w:r>
          <w:rPr>
            <w:rStyle w:val="Hyperlink"/>
          </w:rPr>
          <w:t xml:space="preserve">https://doi.org/10.1016/j.cels.2015.12.004</w:t>
        </w:r>
      </w:hyperlink>
      <w:r>
        <w:t xml:space="preserve">.</w:t>
      </w:r>
    </w:p>
    <w:bookmarkEnd w:id="42"/>
    <w:bookmarkStart w:id="44" w:name="ref-mendez2019"/>
    <w:p>
      <w:pPr>
        <w:pStyle w:val="Bibliography"/>
      </w:pPr>
      <w:r>
        <w:t xml:space="preserve">Mendez, David, Anna Gaulton, A Patrícia Bento, et al.</w:t>
      </w:r>
      <w:r>
        <w:t xml:space="preserve"> 2019.</w:t>
      </w:r>
      <w:r>
        <w:t xml:space="preserve"> </w:t>
      </w:r>
      <w:r>
        <w:t xml:space="preserve">“ChEMBL: Towards Direct Deposition of Bioassay Data.”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47 (D1): D930–40.</w:t>
      </w:r>
      <w:r>
        <w:t xml:space="preserve"> </w:t>
      </w:r>
      <w:hyperlink r:id="rId43">
        <w:r>
          <w:rPr>
            <w:rStyle w:val="Hyperlink"/>
          </w:rPr>
          <w:t xml:space="preserve">https://doi.org/10.1093/nar/gky1075</w:t>
        </w:r>
      </w:hyperlink>
      <w:r>
        <w:t xml:space="preserve">.</w:t>
      </w:r>
    </w:p>
    <w:bookmarkEnd w:id="44"/>
    <w:bookmarkStart w:id="46" w:name="ref-ochoa2021"/>
    <w:p>
      <w:pPr>
        <w:pStyle w:val="Bibliography"/>
      </w:pPr>
      <w:r>
        <w:t xml:space="preserve">Ochoa, David, Andrew Hercules, Miguel Carmona, et al.</w:t>
      </w:r>
      <w:r>
        <w:t xml:space="preserve"> 2021.</w:t>
      </w:r>
      <w:r>
        <w:t xml:space="preserve"> </w:t>
      </w:r>
      <w:r>
        <w:t xml:space="preserve">“Open Targets Platform: Supporting Systematic Drug-Target Identification and Prioritisation.”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49 (D1): D1302–10.</w:t>
      </w:r>
      <w:r>
        <w:t xml:space="preserve"> </w:t>
      </w:r>
      <w:hyperlink r:id="rId45">
        <w:r>
          <w:rPr>
            <w:rStyle w:val="Hyperlink"/>
          </w:rPr>
          <w:t xml:space="preserve">https://doi.org/10.1093/nar/gkaa1027</w:t>
        </w:r>
      </w:hyperlink>
      <w:r>
        <w:t xml:space="preserve">.</w:t>
      </w:r>
    </w:p>
    <w:bookmarkEnd w:id="46"/>
    <w:bookmarkStart w:id="48" w:name="ref-pushpakom2019"/>
    <w:p>
      <w:pPr>
        <w:pStyle w:val="Bibliography"/>
      </w:pPr>
      <w:r>
        <w:t xml:space="preserve">Pushpakom, Sudeep, Francesco Iorio, Patrick A Eyers, et al.</w:t>
      </w:r>
      <w:r>
        <w:t xml:space="preserve"> 2019.</w:t>
      </w:r>
      <w:r>
        <w:t xml:space="preserve"> </w:t>
      </w:r>
      <w:r>
        <w:t xml:space="preserve">“Drug Repurposing: Progress, Challenges and Recommendations.”</w:t>
      </w:r>
      <w:r>
        <w:t xml:space="preserve"> </w:t>
      </w:r>
      <w:r>
        <w:rPr>
          <w:i/>
          <w:iCs/>
        </w:rPr>
        <w:t xml:space="preserve">Nature Reviews Drug Discovery</w:t>
      </w:r>
      <w:r>
        <w:t xml:space="preserve"> </w:t>
      </w:r>
      <w:r>
        <w:t xml:space="preserve">18 (1): 41–58.</w:t>
      </w:r>
      <w:r>
        <w:t xml:space="preserve"> </w:t>
      </w:r>
      <w:hyperlink r:id="rId47">
        <w:r>
          <w:rPr>
            <w:rStyle w:val="Hyperlink"/>
          </w:rPr>
          <w:t xml:space="preserve">https://doi.org/10.1038/nrd.2018.168</w:t>
        </w:r>
      </w:hyperlink>
      <w:r>
        <w:t xml:space="preserve">.</w:t>
      </w:r>
    </w:p>
    <w:bookmarkEnd w:id="48"/>
    <w:bookmarkStart w:id="50" w:name="ref-ritchie2015"/>
    <w:p>
      <w:pPr>
        <w:pStyle w:val="Bibliography"/>
      </w:pPr>
      <w:r>
        <w:t xml:space="preserve">Ritchie, Matthew E, Belinda Phipson, Di Wu, et al. 2015.</w:t>
      </w:r>
      <w:r>
        <w:t xml:space="preserve"> </w:t>
      </w:r>
      <w:r>
        <w:t xml:space="preserve">“Limma Powers Differential Expression Analyses for RNA-Sequencing and Microarray Studies.”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43 (7): e47.</w:t>
      </w:r>
      <w:r>
        <w:t xml:space="preserve"> </w:t>
      </w:r>
      <w:hyperlink r:id="rId49">
        <w:r>
          <w:rPr>
            <w:rStyle w:val="Hyperlink"/>
          </w:rPr>
          <w:t xml:space="preserve">https://doi.org/10.1093/nar/gkv007</w:t>
        </w:r>
      </w:hyperlink>
      <w:r>
        <w:t xml:space="preserve">.</w:t>
      </w:r>
    </w:p>
    <w:bookmarkEnd w:id="50"/>
    <w:bookmarkStart w:id="52" w:name="ref-subramanian2005"/>
    <w:p>
      <w:pPr>
        <w:pStyle w:val="Bibliography"/>
      </w:pPr>
      <w:r>
        <w:t xml:space="preserve">Subramanian, Aravind, Pablo Tamayo, Vamsi K Mootha, et al.</w:t>
      </w:r>
      <w:r>
        <w:t xml:space="preserve"> 2005.</w:t>
      </w:r>
      <w:r>
        <w:t xml:space="preserve"> </w:t>
      </w:r>
      <w:r>
        <w:t xml:space="preserve">“Gene Set Enrichment Analysis: A Knowledge-Based Approach for Interpreting Genome-Wide Expression Profiles.”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102 (43): 15545–50.</w:t>
      </w:r>
      <w:r>
        <w:t xml:space="preserve"> </w:t>
      </w:r>
      <w:hyperlink r:id="rId51">
        <w:r>
          <w:rPr>
            <w:rStyle w:val="Hyperlink"/>
          </w:rPr>
          <w:t xml:space="preserve">https://doi.org/10.1073/pnas.0506580102</w:t>
        </w:r>
      </w:hyperlink>
      <w:r>
        <w:t xml:space="preserve">.</w:t>
      </w:r>
    </w:p>
    <w:bookmarkEnd w:id="52"/>
    <w:bookmarkStart w:id="54" w:name="ref-sung2021"/>
    <w:p>
      <w:pPr>
        <w:pStyle w:val="Bibliography"/>
      </w:pPr>
      <w:r>
        <w:t xml:space="preserve">Sung, Hyuna, Jacques Ferlay, Rebecca L Siegel, et al. 2021.</w:t>
      </w:r>
      <w:r>
        <w:t xml:space="preserve"> </w:t>
      </w:r>
      <w:r>
        <w:t xml:space="preserve">“Global Cancer Statistics 2020: GLOBOCAN Estimates of Incidence and Mortality Worldwide for 36 Cancers in 185 Countries.”</w:t>
      </w:r>
      <w:r>
        <w:t xml:space="preserve"> </w:t>
      </w:r>
      <w:r>
        <w:rPr>
          <w:i/>
          <w:iCs/>
        </w:rPr>
        <w:t xml:space="preserve">CA: A Cancer Journal for Clinicians</w:t>
      </w:r>
      <w:r>
        <w:t xml:space="preserve"> </w:t>
      </w:r>
      <w:r>
        <w:t xml:space="preserve">71 (3): 209–49.</w:t>
      </w:r>
      <w:r>
        <w:t xml:space="preserve"> </w:t>
      </w:r>
      <w:hyperlink r:id="rId53">
        <w:r>
          <w:rPr>
            <w:rStyle w:val="Hyperlink"/>
          </w:rPr>
          <w:t xml:space="preserve">https://doi.org/10.3322/caac.21660</w:t>
        </w:r>
      </w:hyperlink>
      <w:r>
        <w:t xml:space="preserve">.</w:t>
      </w:r>
    </w:p>
    <w:bookmarkEnd w:id="54"/>
    <w:bookmarkStart w:id="56" w:name="ref-szklarczyk2023"/>
    <w:p>
      <w:pPr>
        <w:pStyle w:val="Bibliography"/>
      </w:pPr>
      <w:r>
        <w:t xml:space="preserve">Szklarczyk, Damian, Rebecca Kirsch, Mikaela Koutrouli, et al.</w:t>
      </w:r>
      <w:r>
        <w:t xml:space="preserve"> 2023.</w:t>
      </w:r>
      <w:r>
        <w:t xml:space="preserve"> </w:t>
      </w:r>
      <w:r>
        <w:t xml:space="preserve">“The STRING Database in 2023: Protein-Protein Association Networks and Functional Enrichment Analyses for Any of 12,535 Organisms.”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51 (D1): D638–46.</w:t>
      </w:r>
      <w:r>
        <w:t xml:space="preserve"> </w:t>
      </w:r>
      <w:hyperlink r:id="rId55">
        <w:r>
          <w:rPr>
            <w:rStyle w:val="Hyperlink"/>
          </w:rPr>
          <w:t xml:space="preserve">https://doi.org/10.1093/nar/gkac1000</w:t>
        </w:r>
      </w:hyperlink>
      <w:r>
        <w:t xml:space="preserve">.</w:t>
      </w:r>
    </w:p>
    <w:bookmarkEnd w:id="56"/>
    <w:bookmarkStart w:id="58" w:name="ref-wu2021"/>
    <w:p>
      <w:pPr>
        <w:pStyle w:val="Bibliography"/>
      </w:pPr>
      <w:r>
        <w:t xml:space="preserve">Wu, Tianzhi, Erqiang Hu, Shuangbin Xu, et al.</w:t>
      </w:r>
      <w:r>
        <w:t xml:space="preserve"> 2021.</w:t>
      </w:r>
      <w:r>
        <w:t xml:space="preserve"> </w:t>
      </w:r>
      <w:r>
        <w:t xml:space="preserve">“clusterProfiler 4.0: A Universal Enrichment Tool for Interpreting Omics Data.”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2 (3): 100141.</w:t>
      </w:r>
      <w:r>
        <w:t xml:space="preserve"> </w:t>
      </w:r>
      <w:hyperlink r:id="rId57">
        <w:r>
          <w:rPr>
            <w:rStyle w:val="Hyperlink"/>
          </w:rPr>
          <w:t xml:space="preserve">https://doi.org/10.1016/j.xinn.2021.100141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16/S0140-6736(19)32591-7" TargetMode="External" /><Relationship Type="http://schemas.openxmlformats.org/officeDocument/2006/relationships/hyperlink" Id="rId35" Target="https://doi.org/10.1016/j.ccell.2020.12.007" TargetMode="External" /><Relationship Type="http://schemas.openxmlformats.org/officeDocument/2006/relationships/hyperlink" Id="rId41" Target="https://doi.org/10.1016/j.cels.2015.12.004" TargetMode="External" /><Relationship Type="http://schemas.openxmlformats.org/officeDocument/2006/relationships/hyperlink" Id="rId37" Target="https://doi.org/10.1016/j.ctrv.2025.103018" TargetMode="External" /><Relationship Type="http://schemas.openxmlformats.org/officeDocument/2006/relationships/hyperlink" Id="rId57" Target="https://doi.org/10.1016/j.xinn.2021.100141" TargetMode="External" /><Relationship Type="http://schemas.openxmlformats.org/officeDocument/2006/relationships/hyperlink" Id="rId47" Target="https://doi.org/10.1038/nrd.2018.168" TargetMode="External" /><Relationship Type="http://schemas.openxmlformats.org/officeDocument/2006/relationships/hyperlink" Id="rId39" Target="https://doi.org/10.1038/s41572-020-00224-3" TargetMode="External" /><Relationship Type="http://schemas.openxmlformats.org/officeDocument/2006/relationships/hyperlink" Id="rId27" Target="https://doi.org/10.1056/NEJMoa0912217" TargetMode="External" /><Relationship Type="http://schemas.openxmlformats.org/officeDocument/2006/relationships/hyperlink" Id="rId51" Target="https://doi.org/10.1073/pnas.0506580102" TargetMode="External" /><Relationship Type="http://schemas.openxmlformats.org/officeDocument/2006/relationships/hyperlink" Id="rId45" Target="https://doi.org/10.1093/nar/gkaa1027" TargetMode="External" /><Relationship Type="http://schemas.openxmlformats.org/officeDocument/2006/relationships/hyperlink" Id="rId33" Target="https://doi.org/10.1093/nar/gkaa1084" TargetMode="External" /><Relationship Type="http://schemas.openxmlformats.org/officeDocument/2006/relationships/hyperlink" Id="rId55" Target="https://doi.org/10.1093/nar/gkac1000" TargetMode="External" /><Relationship Type="http://schemas.openxmlformats.org/officeDocument/2006/relationships/hyperlink" Id="rId31" Target="https://doi.org/10.1093/nar/gkae1059" TargetMode="External" /><Relationship Type="http://schemas.openxmlformats.org/officeDocument/2006/relationships/hyperlink" Id="rId49" Target="https://doi.org/10.1093/nar/gkv007" TargetMode="External" /><Relationship Type="http://schemas.openxmlformats.org/officeDocument/2006/relationships/hyperlink" Id="rId43" Target="https://doi.org/10.1093/nar/gky1075" TargetMode="External" /><Relationship Type="http://schemas.openxmlformats.org/officeDocument/2006/relationships/hyperlink" Id="rId53" Target="https://doi.org/10.3322/caac.216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16/S0140-6736(19)32591-7" TargetMode="External" /><Relationship Type="http://schemas.openxmlformats.org/officeDocument/2006/relationships/hyperlink" Id="rId35" Target="https://doi.org/10.1016/j.ccell.2020.12.007" TargetMode="External" /><Relationship Type="http://schemas.openxmlformats.org/officeDocument/2006/relationships/hyperlink" Id="rId41" Target="https://doi.org/10.1016/j.cels.2015.12.004" TargetMode="External" /><Relationship Type="http://schemas.openxmlformats.org/officeDocument/2006/relationships/hyperlink" Id="rId37" Target="https://doi.org/10.1016/j.ctrv.2025.103018" TargetMode="External" /><Relationship Type="http://schemas.openxmlformats.org/officeDocument/2006/relationships/hyperlink" Id="rId57" Target="https://doi.org/10.1016/j.xinn.2021.100141" TargetMode="External" /><Relationship Type="http://schemas.openxmlformats.org/officeDocument/2006/relationships/hyperlink" Id="rId47" Target="https://doi.org/10.1038/nrd.2018.168" TargetMode="External" /><Relationship Type="http://schemas.openxmlformats.org/officeDocument/2006/relationships/hyperlink" Id="rId39" Target="https://doi.org/10.1038/s41572-020-00224-3" TargetMode="External" /><Relationship Type="http://schemas.openxmlformats.org/officeDocument/2006/relationships/hyperlink" Id="rId27" Target="https://doi.org/10.1056/NEJMoa0912217" TargetMode="External" /><Relationship Type="http://schemas.openxmlformats.org/officeDocument/2006/relationships/hyperlink" Id="rId51" Target="https://doi.org/10.1073/pnas.0506580102" TargetMode="External" /><Relationship Type="http://schemas.openxmlformats.org/officeDocument/2006/relationships/hyperlink" Id="rId45" Target="https://doi.org/10.1093/nar/gkaa1027" TargetMode="External" /><Relationship Type="http://schemas.openxmlformats.org/officeDocument/2006/relationships/hyperlink" Id="rId33" Target="https://doi.org/10.1093/nar/gkaa1084" TargetMode="External" /><Relationship Type="http://schemas.openxmlformats.org/officeDocument/2006/relationships/hyperlink" Id="rId55" Target="https://doi.org/10.1093/nar/gkac1000" TargetMode="External" /><Relationship Type="http://schemas.openxmlformats.org/officeDocument/2006/relationships/hyperlink" Id="rId31" Target="https://doi.org/10.1093/nar/gkae1059" TargetMode="External" /><Relationship Type="http://schemas.openxmlformats.org/officeDocument/2006/relationships/hyperlink" Id="rId49" Target="https://doi.org/10.1093/nar/gkv007" TargetMode="External" /><Relationship Type="http://schemas.openxmlformats.org/officeDocument/2006/relationships/hyperlink" Id="rId43" Target="https://doi.org/10.1093/nar/gky1075" TargetMode="External" /><Relationship Type="http://schemas.openxmlformats.org/officeDocument/2006/relationships/hyperlink" Id="rId53" Target="https://doi.org/10.3322/caac.216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2026-06-14T18:08:56Z</dcterms:created>
  <dcterms:modified xsi:type="dcterms:W3CDTF">2026-06-14T18:08:56Z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</Properties>
</file>