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HNSCC Drug Repurposing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Figuras y Tablas por Objetivo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Tesis de grado  •  2026-04-11  •  Sección 0 + OE1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General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Evaluar in silico el potencial de reposicionamiento de fármacos existentes para el tratamiento del cáncer escamocelular de cabeza y cuello, integrando datos proteómicos, análisis bioinformáticos y evidencia farmacológica que permita identificar candidatos con relevancia terapéutica.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Sección 0 — Caracterización del perfil proteómico diferencial</w:t>
      </w:r>
    </w:p>
    <w:p>
      <w:pPr>
        <w:spacing w:after="14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Base metodológica. Responde: ¿Cuál es el proteoma diferencial de HNSCC frente a tejido normal adyacente? ¿Qué procesos biológicos están alterados?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A_PCA.png" descr="Sec0_FigA_PCA.png" title="Sec0_FigA_P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1.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Análisis de Componentes Principales (PCA) de las 20 muestras (10 pares tumor/normal). El PC1 separa tumor de tejido normal. La forma del punto indica estado HPV (triángulo = HPV+, círculo = HPV−). Las líneas conectan los pares del mismo paciente.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B_volcano.png" descr="Sec0_FigB_volcano.png" title="Sec0_FigB_volcan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2.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Volcano plot del contraste Tumor vs. Tejido Normal (TVsS). 666 proteínas diferencialmente expresadas (FDR &lt; 0.05, |log2FC| &gt; 1): 329 sobreexpresadas (naranja) y 337 subexpresadas (azul). Se etiquetan proteínas de interés terapéutico (EGFR, PSMB2, PSMA1, DNMT1, NDUFA9, NDUFS3).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C_heatmap_topDE.png" descr="Sec0_FigC_heatmap_topDE.png" title="Sec0_FigC_heatmap_top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3.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Mapa de calor (Z-score) de las top 40 proteínas DE (20 más sobreexpresadas + 20 más subexpresadas por |log2FC|) en las 20 muestras. Las barras superiores indican condición (tumor/normal) y estado HPV por muestra. Las celdas grises corresponden a proteínas no detectadas en esa muestra (missing-not-at-random, característico de proteómica DIA): 25 de las 40 proteínas tienen al menos un valor faltante.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D_hallmarks_gsea.png" descr="Sec0_FigD_hallmarks_gsea.png" title="Sec0_FigD_hallmarks_gse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4.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GSEA sobre la colección Hallmarks MSigDB. Barplot horizontal ordenado por NES. Rojo = activado en tumor; azul = reprimido en tumor. Destaca la represión de fosforilación oxidativa (OXPHOS) y la activación de proliferación celular.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estadístico del análisis de expresión diferencial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4066"/>
      </w:tblGrid>
      <w:tr>
        <w:trPr>
          <w:tblHeader/>
        </w:trP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Parámetro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cuantificadas (total)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Proteómica DIA, MaxQuant, 10 pares tumor/normal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mapeadas a Entrez ID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Mapeo con org.Hs.eg.db (Bioconductor)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log2 Fold Change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1.0  (cambio &gt; 2× en escala lineal)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Aplicado sobre contrastes limma TVsS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FDR (adj. p-valor)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0.05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Benjamini-Hochberg (limma/proteoDA)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DE significativas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19.9% del proteoma cuantificado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Sobreexpresadas en tumor (up)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329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49.4%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Subexpresadas en tumor (down)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337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HPV+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pacientes / 12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M3, M5, M6, M7, M9, M10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HPV−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pacientes / 8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M1, M2, M4, M8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40 proteínas diferencialmente expresadas (20 up + 20 down)</w:t>
      </w:r>
    </w:p>
    <w:tbl>
      <w:tblPr>
        <w:tblW w:type="dxa" w:w="8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400"/>
        <w:gridCol w:w="1600"/>
        <w:gridCol w:w="2466"/>
      </w:tblGrid>
      <w:tr>
        <w:trPr>
          <w:tblHeader/>
        </w:trP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UniProt ID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log2FC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FDR (adj.p)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Dirección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PHKA1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P46020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3.744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0.00613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Q13751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LAMA3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Q16787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1.38e-4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SERPINE1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3.093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0.00946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PTK7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Q13308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3.079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IL36RN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Q9UBH0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3.043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0.0185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TNC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P24821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2.939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ISG15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P05161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FRRS1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Q6ZNA5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0.00861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RNASE2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P10153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0.0169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P02462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LSM7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Q9UK45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0.00755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STARD5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Q9NSY2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EIF2S3B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Q2VIR3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0.0128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P53999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2.635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MCM3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P25205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2.621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0.00876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CTHRC1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Q96CG8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PSPH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P78330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2.541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0.00454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HMGB3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O15347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0.0473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P08572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2.516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6.39e-4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SLC25A4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P12235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-5.99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MYLPF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Q96A32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-5.291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9.32e-4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HSPB6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O14558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-4.923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P10916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-4.907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CASQ1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P31415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-4.84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SYPL2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Q5VXT5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-4.724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0.00221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FHL1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Q13642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-4.701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Q9UKX2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-4.685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P08590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P12883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-4.573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Q8TDL5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-4.415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CRYAB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P02511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-4.342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LDB3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O75112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-4.268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0.0103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Q9NP55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-4.167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PYGM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P11217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-4.013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0.00219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P05976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0.00412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GPD1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P21695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-3.997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TCAP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O15273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-3.932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0.0192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PADI2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Q9Y2J8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-3.859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0.00275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ATP2A1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O14983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-3.756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</w:tbl>
    <w:p>
      <w:pPr>
        <w:spacing w:after="60" w:before="60"/>
      </w:pPr>
    </w:p>
    <w:p>
      <w:r>
        <w:br w:type="page"/>
      </w: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Específico 1 — Relacionar proteínas DE con fármacos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Relacionar proteínas expresadas diferencialmente en cáncer escamocelular de cabeza y cuello con fármacos reportados en bases de datos públicas, utilizando herramientas bioinformáticas de reposicionamiento y análisis de conectividad.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A_drug_sources_bar.png" descr="OE1_FigA_drug_sources_bar.png" title="OE1_FigA_drug_sources_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5.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Número de fármacos candidatos identificados por cada base de datos consultada (DGIdb, OpenTargets, L2S2, ChEMBL). Ilustra la estrategia multi-fuente y la cobertura diferencial de cada recurso.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B_drug_phase_dist.png" descr="OE1_FigB_drug_phase_dist.png" title="OE1_FigB_drug_phase_d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6.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Distribución de fases clínicas de los candidatos multi-fuente (n = 458; presentes en ≥2 bases de datos). El 75% son fármacos aprobados: 120 con Fase IV confirmada por ChEMBL (verde oscuro) y 222 aprobados identificados por DGIdb sin registro de fase en ChEMBL (verde claro). Esta distinción es importante: ambos grupos tienen perfil de seguridad establecido y son candidatos viables para reposicionamiento.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3848100"/>
            <wp:effectExtent t="0" r="0" b="0" l="0"/>
            <wp:docPr id="1" name="OE1_FigC_upset_sources.png" descr="OE1_FigC_upset_sources.png" title="OE1_FigC_upset_sourc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7.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Diagrama UpSet de solapamiento entre las cuatro bases de datos consultadas. Los candidatos con respaldo en múltiples fuentes (intersección) representan la evidencia más convergente y constituyen el núcleo de mayor prioridad para OE2.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de la consulta a bases de datos farmacológicas</w:t>
      </w:r>
    </w:p>
    <w:tbl>
      <w:tblPr>
        <w:tblW w:type="dxa" w:w="10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900"/>
        <w:gridCol w:w="900"/>
        <w:gridCol w:w="1000"/>
        <w:gridCol w:w="900"/>
        <w:gridCol w:w="1100"/>
        <w:gridCol w:w="800"/>
        <w:gridCol w:w="666"/>
      </w:tblGrid>
      <w:tr>
        <w:trPr>
          <w:tblHeader/>
        </w:trP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DE consultados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con hits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Fármacos/pert. únicos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Pares gen-fármaco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 de filtro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Aprobados (Fase IV)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III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 v5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291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2697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3542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interacción reportada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 34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Fase clínica &gt;= 3 (Phase III o aprobado)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Targets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7236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fármaco conocido para el gen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L2S2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Conectividad negativa (reversión de firma)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4.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30 candidatos farmacológicos por número de fuentes de respaldo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2200"/>
        <w:gridCol w:w="1800"/>
        <w:gridCol w:w="1100"/>
        <w:gridCol w:w="12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HNSCC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oncológica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ChEMBL ID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CHEMBL1201179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CHEMBL2105613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Gefitinib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CHEMBL939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CHEMBL1489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Disulfiram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CHEMBL964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CHEMBL20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Decitabine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CHEMBL1201129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Neratinib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CHEMBL180022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Bivalirudin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CHEMBL5314348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Brinzolamide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Dabigatran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CHEMBL48361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Topiramate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Metformin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CHEMBL1431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Cetuximab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CHEMBL1201577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 Anhydrous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CHEMBL2110732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CHEMBL553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CHEMBL2108359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CHEMBL1201827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CHEMBL451887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CHEMBL727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Brigatinib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CHEMBL3545311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Crizotinib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CHEMBL601719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 Hydrochloride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CHEMBL1079742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Pentoxifylline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CHEMBL628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CHEMBL4297774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CHEMBL4761468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CHEMBL3237547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CHEMBL2105719</w:t>
            </w:r>
          </w:p>
        </w:tc>
      </w:tr>
    </w:tbl>
    <w:p>
      <w:pPr>
        <w:spacing w:after="60" w:before="60"/>
      </w:pPr>
    </w:p>
    <w:p>
      <w:pPr>
        <w:pBdr>
          <w:bottom w:val="single" w:color="B0C8E0" w:sz="6" w:space="3"/>
        </w:pBdr>
        <w:spacing w:after="0" w:before="160"/>
      </w:pPr>
    </w:p>
    <w:p>
      <w:pPr>
        <w:spacing w:after="0" w:before="80"/>
      </w:pPr>
      <w:r>
        <w:rPr>
          <w:rFonts w:ascii="Arial" w:cs="Arial" w:eastAsia="Arial" w:hAnsi="Arial"/>
          <w:i/>
          <w:iCs/>
          <w:color w:val="AAAAAA"/>
          <w:sz w:val="16"/>
          <w:szCs w:val="16"/>
        </w:rPr>
        <w:t xml:space="preserve">OE2 y OE3 pendientes de planificación  •  hnscc_drug_repurposing  •  2026-04-11</w:t>
      </w:r>
    </w:p>
    <w:sectPr>
      <w:pgSz w:w="16838" w:h="11906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b1cce784af39f38a161d8b2f15441ea571ca47.png"/><Relationship Id="rId8" Type="http://schemas.openxmlformats.org/officeDocument/2006/relationships/image" Target="media/1763d1ba576e0ebd84738076bca164f88f6bc014.png"/><Relationship Id="rId9" Type="http://schemas.openxmlformats.org/officeDocument/2006/relationships/image" Target="media/dca5a4780f5512628d266a30dd72ee409dde493b.png"/><Relationship Id="rId10" Type="http://schemas.openxmlformats.org/officeDocument/2006/relationships/image" Target="media/61aa76afbb00d5f552d16ab0a96e5174ca4e2232.png"/><Relationship Id="rId11" Type="http://schemas.openxmlformats.org/officeDocument/2006/relationships/image" Target="media/aff4918b5aff33c0523dd8589af105b43283cecf.png"/><Relationship Id="rId12" Type="http://schemas.openxmlformats.org/officeDocument/2006/relationships/image" Target="media/0706d14d08f6e3a97f50c06ab053b9f30841b6b5.png"/><Relationship Id="rId13" Type="http://schemas.openxmlformats.org/officeDocument/2006/relationships/image" Target="media/e99cd125e0ca7e2665018733fde98e5f6e44ac0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2026-04-12T02:21:13.449Z</dcterms:created>
  <dcterms:modified xsi:type="dcterms:W3CDTF">2026-04-12T02:21:13.449Z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