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</w:t>
      </w:r>
      <w:r>
        <w:t xml:space="preserve"> </w:t>
      </w:r>
      <w:r>
        <w:t xml:space="preserve">(Johnson et al. 2020; Sung et al. 2021)</w:t>
      </w:r>
      <w:r>
        <w:t xml:space="preserve"> </w:t>
      </w:r>
      <w:r>
        <w:t xml:space="preserve">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</w:t>
      </w:r>
      <w:r>
        <w:t xml:space="preserve"> </w:t>
      </w:r>
      <w:r>
        <w:t xml:space="preserve">(Johnson et al. 2020)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</w:t>
      </w:r>
      <w:r>
        <w:t xml:space="preserve"> </w:t>
      </w:r>
      <w:r>
        <w:t xml:space="preserve">(</w:t>
      </w:r>
      <w:r>
        <w:t xml:space="preserve">Burtness et al.</w:t>
      </w:r>
      <w:r>
        <w:t xml:space="preserve"> </w:t>
      </w:r>
      <w:r>
        <w:t xml:space="preserve">2019)</w:t>
      </w:r>
      <w:r>
        <w:t xml:space="preserve"> </w:t>
      </w:r>
      <w:r>
        <w:t xml:space="preserve">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(Imamura et al. 2025)</w:t>
      </w:r>
      <w:r>
        <w:t xml:space="preserve"> </w:t>
      </w:r>
      <w:r>
        <w:t xml:space="preserve">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</w:t>
      </w:r>
      <w:r>
        <w:t xml:space="preserve"> </w:t>
      </w:r>
      <w:r>
        <w:t xml:space="preserve">(</w:t>
      </w:r>
      <w:r>
        <w:t xml:space="preserve">Ang et al.</w:t>
      </w:r>
      <w:r>
        <w:t xml:space="preserve"> </w:t>
      </w:r>
      <w:r>
        <w:t xml:space="preserve">2010)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 </w:t>
      </w:r>
      <w:r>
        <w:t xml:space="preserve">Proteomic studies have repeatedly found changes in EGFR signaling,</w:t>
      </w:r>
      <w:r>
        <w:t xml:space="preserve"> </w:t>
      </w:r>
      <w:r>
        <w:t xml:space="preserve">energy metabolism, epigenetic regulation, and the tumor microenvironment in HNSCC.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</w:t>
      </w:r>
      <w:r>
        <w:t xml:space="preserve"> </w:t>
      </w:r>
      <w:r>
        <w:t xml:space="preserve">(</w:t>
      </w:r>
      <w:r>
        <w:t xml:space="preserve">Pushpakom et al.</w:t>
      </w:r>
      <w:r>
        <w:t xml:space="preserve"> </w:t>
      </w:r>
      <w:r>
        <w:t xml:space="preserve">2019)</w:t>
      </w:r>
      <w:r>
        <w:t xml:space="preserve"> </w:t>
      </w:r>
      <w:r>
        <w:t xml:space="preserve">Connectivity-based approaches typically prioritize</w:t>
      </w:r>
      <w:r>
        <w:t xml:space="preserve"> </w:t>
      </w:r>
      <w:r>
        <w:t xml:space="preserve">candidates by how strongly a drug reverses the transcriptomic signature</w:t>
      </w:r>
      <w:r>
        <w:t xml:space="preserve"> </w:t>
      </w:r>
      <w:r>
        <w:t xml:space="preserve">(Evangelista et al. 2025; Napolitano et al. 2013)</w:t>
      </w:r>
      <w:r>
        <w:t xml:space="preserve">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</w:t>
      </w:r>
      <w:r>
        <w:t xml:space="preserve"> </w:t>
      </w:r>
      <w:r>
        <w:t xml:space="preserve">(Barabási et al. 2011)</w:t>
      </w:r>
      <w:r>
        <w:t xml:space="preserve">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</w:t>
      </w:r>
      <w:r>
        <w:t xml:space="preserve"> </w:t>
      </w:r>
      <w:r>
        <w:t xml:space="preserve">(Ritchie et al. 2015)</w:t>
      </w:r>
      <w:r>
        <w:t xml:space="preserve">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</w:t>
      </w:r>
      <w:r>
        <w:t xml:space="preserve"> </w:t>
      </w:r>
      <w:r>
        <w:t xml:space="preserve">(</w:t>
      </w:r>
      <w:r>
        <w:t xml:space="preserve">Wu et al.</w:t>
      </w:r>
      <w:r>
        <w:t xml:space="preserve"> </w:t>
      </w:r>
      <w:r>
        <w:t xml:space="preserve">2021)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</w:t>
      </w:r>
      <w:r>
        <w:t xml:space="preserve"> </w:t>
      </w:r>
      <w:r>
        <w:t xml:space="preserve">(Liberzon et al. 2015)</w:t>
      </w:r>
      <w:r>
        <w:t xml:space="preserve"> </w:t>
      </w:r>
      <w:r>
        <w:t xml:space="preserve">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</w:t>
      </w:r>
      <w:r>
        <w:t xml:space="preserve"> </w:t>
      </w:r>
      <w:r>
        <w:t xml:space="preserve">(</w:t>
      </w:r>
      <w:r>
        <w:t xml:space="preserve">Subramanian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</w:t>
      </w:r>
      <w:r>
        <w:t xml:space="preserve"> </w:t>
      </w:r>
      <w:r>
        <w:t xml:space="preserve">(Freshour et al. 2021)</w:t>
      </w:r>
      <w:r>
        <w:t xml:space="preserve"> </w:t>
      </w:r>
      <w:r>
        <w:t xml:space="preserve">(GraphQL</w:t>
      </w:r>
      <w:r>
        <w:t xml:space="preserve"> </w:t>
      </w:r>
      <w:r>
        <w:t xml:space="preserve">API v5), ChEMBL</w:t>
      </w:r>
      <w:r>
        <w:t xml:space="preserve"> </w:t>
      </w:r>
      <w:r>
        <w:t xml:space="preserve">(</w:t>
      </w:r>
      <w:r>
        <w:t xml:space="preserve">Mendez et al.</w:t>
      </w:r>
      <w:r>
        <w:t xml:space="preserve"> </w:t>
      </w:r>
      <w:r>
        <w:t xml:space="preserve">2019)</w:t>
      </w:r>
      <w:r>
        <w:t xml:space="preserve"> </w:t>
      </w:r>
      <w:r>
        <w:t xml:space="preserve">(REST API v33, clinical phase ≥ 3), Open Targets</w:t>
      </w:r>
      <w:r>
        <w:t xml:space="preserve"> </w:t>
      </w:r>
      <w:r>
        <w:t xml:space="preserve">(</w:t>
      </w:r>
      <w:r>
        <w:t xml:space="preserve">Ochoa et al.</w:t>
      </w:r>
      <w:r>
        <w:t xml:space="preserve"> </w:t>
      </w:r>
      <w:r>
        <w:t xml:space="preserve">2021)</w:t>
      </w:r>
      <w:r>
        <w:t xml:space="preserve"> </w:t>
      </w:r>
      <w:r>
        <w:t xml:space="preserve">(GraphQL API; HNSCC association</w:t>
      </w:r>
      <w:r>
        <w:t xml:space="preserve"> </w:t>
      </w:r>
      <w:r>
        <w:t xml:space="preserve">EFO_0000181 and known drugs), and L2S2</w:t>
      </w:r>
      <w:r>
        <w:t xml:space="preserve"> </w:t>
      </w:r>
      <w:r>
        <w:t xml:space="preserve">(Evangelista et al. 2025)</w:t>
      </w:r>
      <w:r>
        <w:t xml:space="preserve"> </w:t>
      </w:r>
      <w:r>
        <w:t xml:space="preserve">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</w:t>
      </w:r>
      <w:r>
        <w:t xml:space="preserve"> </w:t>
      </w:r>
      <w:r>
        <w:t xml:space="preserve">(</w:t>
      </w:r>
      <w:r>
        <w:t xml:space="preserve">Szklarczyk et al.</w:t>
      </w:r>
      <w:r>
        <w:t xml:space="preserve"> </w:t>
      </w:r>
      <w:r>
        <w:t xml:space="preserve">2023)</w:t>
      </w:r>
      <w:r>
        <w:t xml:space="preserve"> </w:t>
      </w:r>
      <w:r>
        <w:t xml:space="preserve">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term, and metabolic targets such as Complex I subunits</w:t>
      </w:r>
      <w:r>
        <w:t xml:space="preserve"> </w:t>
      </w:r>
      <w:r>
        <w:t xml:space="preserve">are prioritized through direction-independent centrality and external evidence rather than</w:t>
      </w:r>
      <w:r>
        <w:t xml:space="preserve"> </w:t>
      </w:r>
      <w:r>
        <w:t xml:space="preserve">through π.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 As a supplementary analysis, overall survival was stratified by median</w:t>
      </w:r>
      <w:r>
        <w:t xml:space="preserve"> </w:t>
      </w:r>
      <w:r>
        <w:t xml:space="preserve">expression of four module-representative genes (EGFR, PSMB10, DNMT1, NDUFS3) in TCGA-HNSC (476</w:t>
      </w:r>
      <w:r>
        <w:t xml:space="preserve"> </w:t>
      </w:r>
      <w:r>
        <w:t xml:space="preserve">patients with survival data) and compared by the log-rank test.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(Methods; 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 The</w:t>
      </w:r>
      <w:r>
        <w:t xml:space="preserve"> </w:t>
      </w:r>
      <w:r>
        <w:t xml:space="preserve">complete selection funnel is shown in Fig S1.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 (Methods).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threshold); the most prominent axes corresponded to EGFR signaling, oxidative</w:t>
      </w:r>
      <w:r>
        <w:t xml:space="preserve"> </w:t>
      </w:r>
      <w:r>
        <w:t xml:space="preserve">phosphorylation, the proteasome, and epigenetic regulation.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 (Methods).</w:t>
      </w:r>
    </w:p>
    <w:p>
      <w:pPr>
        <w:pStyle w:val="BodyText"/>
      </w:pPr>
      <w:r>
        <w:t xml:space="preserve">Without any disease-specific tuning, the prioritization elevated the EGFR axis (module M2) to the</w:t>
      </w:r>
      <w:r>
        <w:t xml:space="preserve"> </w:t>
      </w:r>
      <w:r>
        <w:t xml:space="preserve">top of the ranking: cetuximab ranked first (composite 0.73), accompanied by other approved</w:t>
      </w:r>
      <w:r>
        <w:t xml:space="preserve"> </w:t>
      </w:r>
      <w:r>
        <w:t xml:space="preserve">EGFR-directed agents (nimotuzumab, panitumumab, gefitinib, afatinib) (Table 1, EGFR control</w:t>
      </w:r>
      <w:r>
        <w:t xml:space="preserve"> </w:t>
      </w:r>
      <w:r>
        <w:t xml:space="preserve">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S2).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 In line with their role as</w:t>
      </w:r>
      <w:r>
        <w:t xml:space="preserve"> </w:t>
      </w:r>
      <w:r>
        <w:t xml:space="preserve">therapeutic vulnerabilities rather than prognostic markers, none of the four pillar genes (EGFR,</w:t>
      </w:r>
      <w:r>
        <w:t xml:space="preserve"> </w:t>
      </w:r>
      <w:r>
        <w:t xml:space="preserve">PSMB10, DNMT1, NDUFS3) was significantly associated with overall survival in TCGA-HNSC (all</w:t>
      </w:r>
      <w:r>
        <w:t xml:space="preserve"> </w:t>
      </w:r>
      <w:r>
        <w:t xml:space="preserve">p &gt; 0.05; Fig S3).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5867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(HNSCC).</w:t>
      </w:r>
      <w:r>
        <w:t xml:space="preserve"> </w:t>
      </w:r>
      <w:r>
        <w:t xml:space="preserve">Ten paired tumor / adjacent-normal specimens were profiled by data-independent acquisition</w:t>
      </w:r>
      <w:r>
        <w:t xml:space="preserve"> </w:t>
      </w:r>
      <w:r>
        <w:t xml:space="preserve">(DIA) mass spectrometry (MaxQuant), yielding 3,352 quantified proteins. Differential abundance</w:t>
      </w:r>
      <w:r>
        <w:t xml:space="preserve"> </w:t>
      </w:r>
      <w:r>
        <w:t xml:space="preserve">(limma, paired contrast; |log₂FC| &gt; 1, FDR &lt; 0.05) defined the tumor proteomic signature, which</w:t>
      </w:r>
      <w:r>
        <w:t xml:space="preserve"> </w:t>
      </w:r>
      <w:r>
        <w:t xml:space="preserve">was mapped to candidate drugs across four resources (DGIdb, ChEMBL, Open Targets, L2S2). Targets</w:t>
      </w:r>
      <w:r>
        <w:t xml:space="preserve"> </w:t>
      </w:r>
      <w:r>
        <w:t xml:space="preserve">were placed in a tumor protein–protein interaction (PPI) network (STRING), partitioned into</w:t>
      </w:r>
      <w:r>
        <w:t xml:space="preserve"> </w:t>
      </w:r>
      <w:r>
        <w:t xml:space="preserve">Louvain modules, and each candidate was scored by a two-factor 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0.60·TargetPriority + 0.40·DrugViability</w:t>
      </w:r>
      <w:r>
        <w:t xml:space="preserve">) anchoring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</w:t>
      </w:r>
      <w:r>
        <w:t xml:space="preserve"> </w:t>
      </w:r>
      <w:r>
        <w:t xml:space="preserve">cohorts 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 The full selection funnel</w:t>
      </w:r>
      <w:r>
        <w:t xml:space="preserve"> </w:t>
      </w:r>
      <w:r>
        <w:t xml:space="preserve">(3,513 → 458 → top-ranked → LOD-stable) is shown as Figure S1.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M17);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by module,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EGFR-axis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signaling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Oxidative phosphorylation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Ubiquitin-dependent proteolysis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Defense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Carboxylic-acid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Anatomical-structure regulation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oxidative phosphorylation,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84" w:name="references"/>
    <w:p>
      <w:pPr>
        <w:pStyle w:val="Heading1"/>
      </w:pPr>
      <w:r>
        <w:t xml:space="preserve">References</w:t>
      </w:r>
    </w:p>
    <w:bookmarkStart w:id="83" w:name="refs"/>
    <w:bookmarkStart w:id="48" w:name="ref-ang2010"/>
    <w:p>
      <w:pPr>
        <w:pStyle w:val="Bibliography"/>
      </w:pPr>
      <w:r>
        <w:t xml:space="preserve">Ang, K Kian, Jonathan Harris, Richard Wheeler, et al.</w:t>
      </w:r>
      <w:r>
        <w:t xml:space="preserve"> 2010.</w:t>
      </w:r>
      <w:r>
        <w:t xml:space="preserve"> </w:t>
      </w:r>
      <w:r>
        <w:t xml:space="preserve">“Human Papillomavirus and Survival of Patients with Oropharyngeal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363 (1): 24–35.</w:t>
      </w:r>
      <w:r>
        <w:t xml:space="preserve"> </w:t>
      </w:r>
      <w:hyperlink r:id="rId47">
        <w:r>
          <w:rPr>
            <w:rStyle w:val="Hyperlink"/>
          </w:rPr>
          <w:t xml:space="preserve">https://doi.org/10.1056/NEJMoa0912217</w:t>
        </w:r>
      </w:hyperlink>
      <w:r>
        <w:t xml:space="preserve">.</w:t>
      </w:r>
    </w:p>
    <w:bookmarkEnd w:id="48"/>
    <w:bookmarkStart w:id="50" w:name="ref-barabasi2011"/>
    <w:p>
      <w:pPr>
        <w:pStyle w:val="Bibliography"/>
      </w:pPr>
      <w:r>
        <w:t xml:space="preserve">Barabási, Albert-László, Natali Gulbahce, and Joseph Loscalzo. 2011.</w:t>
      </w:r>
      <w:r>
        <w:t xml:space="preserve"> </w:t>
      </w:r>
      <w:r>
        <w:t xml:space="preserve">“Network Medicine: A Network-Based Approach to Human Disease.”</w:t>
      </w:r>
      <w:r>
        <w:t xml:space="preserve"> </w:t>
      </w:r>
      <w:r>
        <w:rPr>
          <w:i/>
          <w:iCs/>
        </w:rPr>
        <w:t xml:space="preserve">Nature Reviews Genetics</w:t>
      </w:r>
      <w:r>
        <w:t xml:space="preserve"> </w:t>
      </w:r>
      <w:r>
        <w:t xml:space="preserve">12 (1): 56–68.</w:t>
      </w:r>
      <w:r>
        <w:t xml:space="preserve"> </w:t>
      </w:r>
      <w:hyperlink r:id="rId49">
        <w:r>
          <w:rPr>
            <w:rStyle w:val="Hyperlink"/>
          </w:rPr>
          <w:t xml:space="preserve">https://doi.org/10.1038/nrg2918</w:t>
        </w:r>
      </w:hyperlink>
      <w:r>
        <w:t xml:space="preserve">.</w:t>
      </w:r>
    </w:p>
    <w:bookmarkEnd w:id="50"/>
    <w:bookmarkStart w:id="52" w:name="ref-burtness2019"/>
    <w:p>
      <w:pPr>
        <w:pStyle w:val="Bibliography"/>
      </w:pPr>
      <w:r>
        <w:t xml:space="preserve">Burtness, Barbara, Kevin J Harrington, Richard Greil, et al.</w:t>
      </w:r>
      <w:r>
        <w:t xml:space="preserve"> 2019.</w:t>
      </w:r>
      <w:r>
        <w:t xml:space="preserve"> </w:t>
      </w:r>
      <w:r>
        <w:t xml:space="preserve">“Pembrolizumab Alone or with Chemotherapy Versus Cetuximab with Chemotherapy for Recurrent or Metastatic Squamous Cell Carcinoma of the Head and Neck (KEYNOTE-048): A Randomised, Open-Label, Phase 3 Study.”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394 (10212): 1915–28.</w:t>
      </w:r>
      <w:r>
        <w:t xml:space="preserve"> </w:t>
      </w:r>
      <w:hyperlink r:id="rId51">
        <w:r>
          <w:rPr>
            <w:rStyle w:val="Hyperlink"/>
          </w:rPr>
          <w:t xml:space="preserve">https://doi.org/10.1016/S0140-6736(19)32591-7</w:t>
        </w:r>
      </w:hyperlink>
      <w:r>
        <w:t xml:space="preserve">.</w:t>
      </w:r>
    </w:p>
    <w:bookmarkEnd w:id="52"/>
    <w:bookmarkStart w:id="54" w:name="ref-evangelista2025"/>
    <w:p>
      <w:pPr>
        <w:pStyle w:val="Bibliography"/>
      </w:pPr>
      <w:r>
        <w:t xml:space="preserve">Evangelista, John Erol, Zhuorui Xie, Giacomo B Marino, Nhi Nguyen, Daniel J B Clarke, and Avi Ma’ayan. 2025.</w:t>
      </w:r>
      <w:r>
        <w:t xml:space="preserve"> </w:t>
      </w:r>
      <w:r>
        <w:t xml:space="preserve">“L2S2: Chemical Perturbation and CRISPR KO LINCS L1000 Signature Search Engine.”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(W1): W338–44.</w:t>
      </w:r>
      <w:r>
        <w:t xml:space="preserve"> </w:t>
      </w:r>
      <w:hyperlink r:id="rId53">
        <w:r>
          <w:rPr>
            <w:rStyle w:val="Hyperlink"/>
          </w:rPr>
          <w:t xml:space="preserve">https://doi.org/10.1093/nar/gkae1059</w:t>
        </w:r>
      </w:hyperlink>
      <w:r>
        <w:t xml:space="preserve">.</w:t>
      </w:r>
    </w:p>
    <w:bookmarkEnd w:id="54"/>
    <w:bookmarkStart w:id="56" w:name="ref-freshour2021"/>
    <w:p>
      <w:pPr>
        <w:pStyle w:val="Bibliography"/>
      </w:pPr>
      <w:r>
        <w:t xml:space="preserve">Freshour, Sharon L, Susanna Kiwala, Kelsy C Cotto, et al. 2021.</w:t>
      </w:r>
      <w:r>
        <w:t xml:space="preserve"> </w:t>
      </w:r>
      <w:r>
        <w:t xml:space="preserve">“Integration of the Drug-Gene Interaction Database (DGIdb 4.0) with Open Crowdsource Efforts.”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D1144–51.</w:t>
      </w:r>
      <w:r>
        <w:t xml:space="preserve"> </w:t>
      </w:r>
      <w:hyperlink r:id="rId55">
        <w:r>
          <w:rPr>
            <w:rStyle w:val="Hyperlink"/>
          </w:rPr>
          <w:t xml:space="preserve">https://doi.org/10.1093/nar/gkaa1084</w:t>
        </w:r>
      </w:hyperlink>
      <w:r>
        <w:t xml:space="preserve">.</w:t>
      </w:r>
    </w:p>
    <w:bookmarkEnd w:id="56"/>
    <w:bookmarkStart w:id="58" w:name="ref-huang2021"/>
    <w:p>
      <w:pPr>
        <w:pStyle w:val="Bibliography"/>
      </w:pPr>
      <w:r>
        <w:t xml:space="preserve">Huang, Chen, Lijun Chen, Sara R Savage, et al.</w:t>
      </w:r>
      <w:r>
        <w:t xml:space="preserve"> 2021.</w:t>
      </w:r>
      <w:r>
        <w:t xml:space="preserve"> </w:t>
      </w:r>
      <w:r>
        <w:t xml:space="preserve">“Proteogenomic Insights into the Biology and Treatment of HPV-Negative Head and Neck Squamous Cell Carcinoma.”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39 (3): 361–79.</w:t>
      </w:r>
      <w:r>
        <w:t xml:space="preserve"> </w:t>
      </w:r>
      <w:hyperlink r:id="rId57">
        <w:r>
          <w:rPr>
            <w:rStyle w:val="Hyperlink"/>
          </w:rPr>
          <w:t xml:space="preserve">https://doi.org/10.1016/j.ccell.2020.12.007</w:t>
        </w:r>
      </w:hyperlink>
      <w:r>
        <w:t xml:space="preserve">.</w:t>
      </w:r>
    </w:p>
    <w:bookmarkEnd w:id="58"/>
    <w:bookmarkStart w:id="60" w:name="ref-imamura2025"/>
    <w:p>
      <w:pPr>
        <w:pStyle w:val="Bibliography"/>
      </w:pPr>
      <w:r>
        <w:t xml:space="preserve">Imamura, Yoshinori, Masafumi Kanno, and Shigeharu Fujieda. 2025.</w:t>
      </w:r>
      <w:r>
        <w:t xml:space="preserve"> </w:t>
      </w:r>
      <w:r>
        <w:t xml:space="preserve">“Comparative Review of KEYNOTE-689 and NIVOPOSTOP Trials and Their Impact on Perioperative Immunotherapy in Locally Advanced Head and Neck Cancer.”</w:t>
      </w:r>
      <w:r>
        <w:t xml:space="preserve"> </w:t>
      </w:r>
      <w:r>
        <w:rPr>
          <w:i/>
          <w:iCs/>
        </w:rPr>
        <w:t xml:space="preserve">Cancer Treatment Reviews</w:t>
      </w:r>
      <w:r>
        <w:t xml:space="preserve"> </w:t>
      </w:r>
      <w:r>
        <w:t xml:space="preserve">140: 103018.</w:t>
      </w:r>
      <w:r>
        <w:t xml:space="preserve"> </w:t>
      </w:r>
      <w:hyperlink r:id="rId59">
        <w:r>
          <w:rPr>
            <w:rStyle w:val="Hyperlink"/>
          </w:rPr>
          <w:t xml:space="preserve">https://doi.org/10.1016/j.ctrv.2025.103018</w:t>
        </w:r>
      </w:hyperlink>
      <w:r>
        <w:t xml:space="preserve">.</w:t>
      </w:r>
    </w:p>
    <w:bookmarkEnd w:id="60"/>
    <w:bookmarkStart w:id="62" w:name="ref-johnson2020"/>
    <w:p>
      <w:pPr>
        <w:pStyle w:val="Bibliography"/>
      </w:pPr>
      <w:r>
        <w:t xml:space="preserve">Johnson, Daniel E, Barbara Burtness, C René Leemans, Vivian Wai Yan Lui, Julie E Bauman, and Jennifer R Grandis. 2020.</w:t>
      </w:r>
      <w:r>
        <w:t xml:space="preserve"> </w:t>
      </w:r>
      <w:r>
        <w:t xml:space="preserve">“Head and Neck Squamous Cell Carcinoma.”</w:t>
      </w:r>
      <w:r>
        <w:t xml:space="preserve"> </w:t>
      </w:r>
      <w:r>
        <w:rPr>
          <w:i/>
          <w:iCs/>
        </w:rPr>
        <w:t xml:space="preserve">Nature Reviews Disease Primers</w:t>
      </w:r>
      <w:r>
        <w:t xml:space="preserve"> </w:t>
      </w:r>
      <w:r>
        <w:t xml:space="preserve">6: 92.</w:t>
      </w:r>
      <w:r>
        <w:t xml:space="preserve"> </w:t>
      </w:r>
      <w:hyperlink r:id="rId61">
        <w:r>
          <w:rPr>
            <w:rStyle w:val="Hyperlink"/>
          </w:rPr>
          <w:t xml:space="preserve">https://doi.org/10.1038/s41572-020-00224-3</w:t>
        </w:r>
      </w:hyperlink>
      <w:r>
        <w:t xml:space="preserve">.</w:t>
      </w:r>
    </w:p>
    <w:bookmarkEnd w:id="62"/>
    <w:bookmarkStart w:id="64" w:name="ref-liberzon2015"/>
    <w:p>
      <w:pPr>
        <w:pStyle w:val="Bibliography"/>
      </w:pPr>
      <w:r>
        <w:t xml:space="preserve">Liberzon, Arthur, Chet Birger, Helga Thorvaldsdóttir, Mahmoud Ghandi, Jill P Mesirov, and Pablo Tamayo. 2015.</w:t>
      </w:r>
      <w:r>
        <w:t xml:space="preserve"> </w:t>
      </w:r>
      <w:r>
        <w:t xml:space="preserve">“The Molecular Signatures Database (MSigDB) Hallmark Gene Set Collection.”</w:t>
      </w:r>
      <w:r>
        <w:t xml:space="preserve"> </w:t>
      </w:r>
      <w:r>
        <w:rPr>
          <w:i/>
          <w:iCs/>
        </w:rPr>
        <w:t xml:space="preserve">Cell Systems</w:t>
      </w:r>
      <w:r>
        <w:t xml:space="preserve"> </w:t>
      </w:r>
      <w:r>
        <w:t xml:space="preserve">1 (6): 417–25.</w:t>
      </w:r>
      <w:r>
        <w:t xml:space="preserve"> </w:t>
      </w:r>
      <w:hyperlink r:id="rId63">
        <w:r>
          <w:rPr>
            <w:rStyle w:val="Hyperlink"/>
          </w:rPr>
          <w:t xml:space="preserve">https://doi.org/10.1016/j.cels.2015.12.004</w:t>
        </w:r>
      </w:hyperlink>
      <w:r>
        <w:t xml:space="preserve">.</w:t>
      </w:r>
    </w:p>
    <w:bookmarkEnd w:id="64"/>
    <w:bookmarkStart w:id="66" w:name="ref-mendez2019"/>
    <w:p>
      <w:pPr>
        <w:pStyle w:val="Bibliography"/>
      </w:pPr>
      <w:r>
        <w:t xml:space="preserve">Mendez, David, Anna Gaulton, A Patrícia Bento, et al.</w:t>
      </w:r>
      <w:r>
        <w:t xml:space="preserve"> 2019.</w:t>
      </w:r>
      <w:r>
        <w:t xml:space="preserve"> </w:t>
      </w:r>
      <w:r>
        <w:t xml:space="preserve">“ChEMBL: Towards Direct Deposition of Bioassay Data.”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47 (D1): D930–40.</w:t>
      </w:r>
      <w:r>
        <w:t xml:space="preserve"> </w:t>
      </w:r>
      <w:hyperlink r:id="rId65">
        <w:r>
          <w:rPr>
            <w:rStyle w:val="Hyperlink"/>
          </w:rPr>
          <w:t xml:space="preserve">https://doi.org/10.1093/nar/gky1075</w:t>
        </w:r>
      </w:hyperlink>
      <w:r>
        <w:t xml:space="preserve">.</w:t>
      </w:r>
    </w:p>
    <w:bookmarkEnd w:id="66"/>
    <w:bookmarkStart w:id="68" w:name="ref-napolitano2013"/>
    <w:p>
      <w:pPr>
        <w:pStyle w:val="Bibliography"/>
      </w:pPr>
      <w:r>
        <w:t xml:space="preserve">Napolitano, Francesco, Yan Zhao, Vania M Moreira, et al. 2013.</w:t>
      </w:r>
      <w:r>
        <w:t xml:space="preserve"> </w:t>
      </w:r>
      <w:r>
        <w:t xml:space="preserve">“Drug Repositioning: A Machine-Learning Approach Through Data Integration.”</w:t>
      </w:r>
      <w:r>
        <w:t xml:space="preserve"> </w:t>
      </w:r>
      <w:r>
        <w:rPr>
          <w:i/>
          <w:iCs/>
        </w:rPr>
        <w:t xml:space="preserve">Journal of Cheminformatics</w:t>
      </w:r>
      <w:r>
        <w:t xml:space="preserve"> </w:t>
      </w:r>
      <w:r>
        <w:t xml:space="preserve">5: 30.</w:t>
      </w:r>
      <w:r>
        <w:t xml:space="preserve"> </w:t>
      </w:r>
      <w:hyperlink r:id="rId67">
        <w:r>
          <w:rPr>
            <w:rStyle w:val="Hyperlink"/>
          </w:rPr>
          <w:t xml:space="preserve">https://doi.org/10.1186/1758-2946-5-30</w:t>
        </w:r>
      </w:hyperlink>
      <w:r>
        <w:t xml:space="preserve">.</w:t>
      </w:r>
    </w:p>
    <w:bookmarkEnd w:id="68"/>
    <w:bookmarkStart w:id="70" w:name="ref-ochoa2021"/>
    <w:p>
      <w:pPr>
        <w:pStyle w:val="Bibliography"/>
      </w:pPr>
      <w:r>
        <w:t xml:space="preserve">Ochoa, David, Andrew Hercules, Miguel Carmona, et al.</w:t>
      </w:r>
      <w:r>
        <w:t xml:space="preserve"> 2021.</w:t>
      </w:r>
      <w:r>
        <w:t xml:space="preserve"> </w:t>
      </w:r>
      <w:r>
        <w:t xml:space="preserve">“Open Targets Platform: Supporting Systematic Drug-Target Identification and Prioritisation.”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D1302–10.</w:t>
      </w:r>
      <w:r>
        <w:t xml:space="preserve"> </w:t>
      </w:r>
      <w:hyperlink r:id="rId69">
        <w:r>
          <w:rPr>
            <w:rStyle w:val="Hyperlink"/>
          </w:rPr>
          <w:t xml:space="preserve">https://doi.org/10.1093/nar/gkaa1027</w:t>
        </w:r>
      </w:hyperlink>
      <w:r>
        <w:t xml:space="preserve">.</w:t>
      </w:r>
    </w:p>
    <w:bookmarkEnd w:id="70"/>
    <w:bookmarkStart w:id="72" w:name="ref-pushpakom2019"/>
    <w:p>
      <w:pPr>
        <w:pStyle w:val="Bibliography"/>
      </w:pPr>
      <w:r>
        <w:t xml:space="preserve">Pushpakom, Sudeep, Francesco Iorio, Patrick A Eyers, et al.</w:t>
      </w:r>
      <w:r>
        <w:t xml:space="preserve"> 2019.</w:t>
      </w:r>
      <w:r>
        <w:t xml:space="preserve"> </w:t>
      </w:r>
      <w:r>
        <w:t xml:space="preserve">“Drug Repurposing: Progress, Challenges and Recommendations.”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18 (1): 41–58.</w:t>
      </w:r>
      <w:r>
        <w:t xml:space="preserve"> </w:t>
      </w:r>
      <w:hyperlink r:id="rId71">
        <w:r>
          <w:rPr>
            <w:rStyle w:val="Hyperlink"/>
          </w:rPr>
          <w:t xml:space="preserve">https://doi.org/10.1038/nrd.2018.168</w:t>
        </w:r>
      </w:hyperlink>
      <w:r>
        <w:t xml:space="preserve">.</w:t>
      </w:r>
    </w:p>
    <w:bookmarkEnd w:id="72"/>
    <w:bookmarkStart w:id="74" w:name="ref-ritchie2015"/>
    <w:p>
      <w:pPr>
        <w:pStyle w:val="Bibliography"/>
      </w:pPr>
      <w:r>
        <w:t xml:space="preserve">Ritchie, Matthew E, Belinda Phipson, Di Wu, et al. 2015.</w:t>
      </w:r>
      <w:r>
        <w:t xml:space="preserve"> </w:t>
      </w:r>
      <w:r>
        <w:t xml:space="preserve">“Limma Powers Differential Expression Analyses for RNA-Sequencing and Microarray Studies.”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43 (7): e47.</w:t>
      </w:r>
      <w:r>
        <w:t xml:space="preserve"> </w:t>
      </w:r>
      <w:hyperlink r:id="rId73">
        <w:r>
          <w:rPr>
            <w:rStyle w:val="Hyperlink"/>
          </w:rPr>
          <w:t xml:space="preserve">https://doi.org/10.1093/nar/gkv007</w:t>
        </w:r>
      </w:hyperlink>
      <w:r>
        <w:t xml:space="preserve">.</w:t>
      </w:r>
    </w:p>
    <w:bookmarkEnd w:id="74"/>
    <w:bookmarkStart w:id="76" w:name="ref-subramanian2005"/>
    <w:p>
      <w:pPr>
        <w:pStyle w:val="Bibliography"/>
      </w:pPr>
      <w:r>
        <w:t xml:space="preserve">Subramanian, Aravind, Pablo Tamayo, Vamsi K Mootha, et al.</w:t>
      </w:r>
      <w:r>
        <w:t xml:space="preserve"> 2005.</w:t>
      </w:r>
      <w:r>
        <w:t xml:space="preserve"> </w:t>
      </w:r>
      <w:r>
        <w:t xml:space="preserve">“Gene Set Enrichment Analysis: A Knowledge-Based Approach for Interpreting Genome-Wide Expression Profiles.”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102 (43): 15545–50.</w:t>
      </w:r>
      <w:r>
        <w:t xml:space="preserve"> </w:t>
      </w:r>
      <w:hyperlink r:id="rId75">
        <w:r>
          <w:rPr>
            <w:rStyle w:val="Hyperlink"/>
          </w:rPr>
          <w:t xml:space="preserve">https://doi.org/10.1073/pnas.0506580102</w:t>
        </w:r>
      </w:hyperlink>
      <w:r>
        <w:t xml:space="preserve">.</w:t>
      </w:r>
    </w:p>
    <w:bookmarkEnd w:id="76"/>
    <w:bookmarkStart w:id="78" w:name="ref-sung2021"/>
    <w:p>
      <w:pPr>
        <w:pStyle w:val="Bibliography"/>
      </w:pPr>
      <w:r>
        <w:t xml:space="preserve">Sung, Hyuna, Jacques Ferlay, Rebecca L Siegel, et al. 2021.</w:t>
      </w:r>
      <w:r>
        <w:t xml:space="preserve"> </w:t>
      </w:r>
      <w:r>
        <w:t xml:space="preserve">“Global Cancer Statistics 2020: GLOBOCAN Estimates of Incidence and Mortality Worldwide for 36 Cancers in 185 Countries.”</w:t>
      </w:r>
      <w:r>
        <w:t xml:space="preserve"> </w:t>
      </w:r>
      <w:r>
        <w:rPr>
          <w:i/>
          <w:iCs/>
        </w:rPr>
        <w:t xml:space="preserve">CA: A Cancer Journal for Clinicians</w:t>
      </w:r>
      <w:r>
        <w:t xml:space="preserve"> </w:t>
      </w:r>
      <w:r>
        <w:t xml:space="preserve">71 (3): 209–49.</w:t>
      </w:r>
      <w:r>
        <w:t xml:space="preserve"> </w:t>
      </w:r>
      <w:hyperlink r:id="rId77">
        <w:r>
          <w:rPr>
            <w:rStyle w:val="Hyperlink"/>
          </w:rPr>
          <w:t xml:space="preserve">https://doi.org/10.3322/caac.21660</w:t>
        </w:r>
      </w:hyperlink>
      <w:r>
        <w:t xml:space="preserve">.</w:t>
      </w:r>
    </w:p>
    <w:bookmarkEnd w:id="78"/>
    <w:bookmarkStart w:id="80" w:name="ref-szklarczyk2023"/>
    <w:p>
      <w:pPr>
        <w:pStyle w:val="Bibliography"/>
      </w:pPr>
      <w:r>
        <w:t xml:space="preserve">Szklarczyk, Damian, Rebecca Kirsch, Mikaela Koutrouli, et al.</w:t>
      </w:r>
      <w:r>
        <w:t xml:space="preserve"> 2023.</w:t>
      </w:r>
      <w:r>
        <w:t xml:space="preserve"> </w:t>
      </w:r>
      <w:r>
        <w:t xml:space="preserve">“The STRING Database in 2023: Protein-Protein Association Networks and Functional Enrichment Analyses for Any of 12,535 Organisms.”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51 (D1): D638–46.</w:t>
      </w:r>
      <w:r>
        <w:t xml:space="preserve"> </w:t>
      </w:r>
      <w:hyperlink r:id="rId79">
        <w:r>
          <w:rPr>
            <w:rStyle w:val="Hyperlink"/>
          </w:rPr>
          <w:t xml:space="preserve">https://doi.org/10.1093/nar/gkac1000</w:t>
        </w:r>
      </w:hyperlink>
      <w:r>
        <w:t xml:space="preserve">.</w:t>
      </w:r>
    </w:p>
    <w:bookmarkEnd w:id="80"/>
    <w:bookmarkStart w:id="82" w:name="ref-wu2021"/>
    <w:p>
      <w:pPr>
        <w:pStyle w:val="Bibliography"/>
      </w:pPr>
      <w:r>
        <w:t xml:space="preserve">Wu, Tianzhi, Erqiang Hu, Shuangbin Xu, et al.</w:t>
      </w:r>
      <w:r>
        <w:t xml:space="preserve"> 2021.</w:t>
      </w:r>
      <w:r>
        <w:t xml:space="preserve"> </w:t>
      </w:r>
      <w:r>
        <w:t xml:space="preserve">“clusterProfiler 4.0: A Universal Enrichment Tool for Interpreting Omics Data.”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2 (3): 100141.</w:t>
      </w:r>
      <w:r>
        <w:t xml:space="preserve"> </w:t>
      </w:r>
      <w:hyperlink r:id="rId81">
        <w:r>
          <w:rPr>
            <w:rStyle w:val="Hyperlink"/>
          </w:rPr>
          <w:t xml:space="preserve">https://doi.org/10.1016/j.xinn.2021.100141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51" Target="https://doi.org/10.1016/S0140-6736(19)32591-7" TargetMode="External" /><Relationship Type="http://schemas.openxmlformats.org/officeDocument/2006/relationships/hyperlink" Id="rId57" Target="https://doi.org/10.1016/j.ccell.2020.12.007" TargetMode="External" /><Relationship Type="http://schemas.openxmlformats.org/officeDocument/2006/relationships/hyperlink" Id="rId63" Target="https://doi.org/10.1016/j.cels.2015.12.004" TargetMode="External" /><Relationship Type="http://schemas.openxmlformats.org/officeDocument/2006/relationships/hyperlink" Id="rId59" Target="https://doi.org/10.1016/j.ctrv.2025.103018" TargetMode="External" /><Relationship Type="http://schemas.openxmlformats.org/officeDocument/2006/relationships/hyperlink" Id="rId81" Target="https://doi.org/10.1016/j.xinn.2021.100141" TargetMode="External" /><Relationship Type="http://schemas.openxmlformats.org/officeDocument/2006/relationships/hyperlink" Id="rId71" Target="https://doi.org/10.1038/nrd.2018.168" TargetMode="External" /><Relationship Type="http://schemas.openxmlformats.org/officeDocument/2006/relationships/hyperlink" Id="rId49" Target="https://doi.org/10.1038/nrg2918" TargetMode="External" /><Relationship Type="http://schemas.openxmlformats.org/officeDocument/2006/relationships/hyperlink" Id="rId61" Target="https://doi.org/10.1038/s41572-020-00224-3" TargetMode="External" /><Relationship Type="http://schemas.openxmlformats.org/officeDocument/2006/relationships/hyperlink" Id="rId47" Target="https://doi.org/10.1056/NEJMoa0912217" TargetMode="External" /><Relationship Type="http://schemas.openxmlformats.org/officeDocument/2006/relationships/hyperlink" Id="rId75" Target="https://doi.org/10.1073/pnas.0506580102" TargetMode="External" /><Relationship Type="http://schemas.openxmlformats.org/officeDocument/2006/relationships/hyperlink" Id="rId69" Target="https://doi.org/10.1093/nar/gkaa1027" TargetMode="External" /><Relationship Type="http://schemas.openxmlformats.org/officeDocument/2006/relationships/hyperlink" Id="rId55" Target="https://doi.org/10.1093/nar/gkaa1084" TargetMode="External" /><Relationship Type="http://schemas.openxmlformats.org/officeDocument/2006/relationships/hyperlink" Id="rId79" Target="https://doi.org/10.1093/nar/gkac1000" TargetMode="External" /><Relationship Type="http://schemas.openxmlformats.org/officeDocument/2006/relationships/hyperlink" Id="rId53" Target="https://doi.org/10.1093/nar/gkae1059" TargetMode="External" /><Relationship Type="http://schemas.openxmlformats.org/officeDocument/2006/relationships/hyperlink" Id="rId73" Target="https://doi.org/10.1093/nar/gkv007" TargetMode="External" /><Relationship Type="http://schemas.openxmlformats.org/officeDocument/2006/relationships/hyperlink" Id="rId65" Target="https://doi.org/10.1093/nar/gky1075" TargetMode="External" /><Relationship Type="http://schemas.openxmlformats.org/officeDocument/2006/relationships/hyperlink" Id="rId67" Target="https://doi.org/10.1186/1758-2946-5-30" TargetMode="External" /><Relationship Type="http://schemas.openxmlformats.org/officeDocument/2006/relationships/hyperlink" Id="rId77" Target="https://doi.org/10.3322/caac.216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16/S0140-6736(19)32591-7" TargetMode="External" /><Relationship Type="http://schemas.openxmlformats.org/officeDocument/2006/relationships/hyperlink" Id="rId57" Target="https://doi.org/10.1016/j.ccell.2020.12.007" TargetMode="External" /><Relationship Type="http://schemas.openxmlformats.org/officeDocument/2006/relationships/hyperlink" Id="rId63" Target="https://doi.org/10.1016/j.cels.2015.12.004" TargetMode="External" /><Relationship Type="http://schemas.openxmlformats.org/officeDocument/2006/relationships/hyperlink" Id="rId59" Target="https://doi.org/10.1016/j.ctrv.2025.103018" TargetMode="External" /><Relationship Type="http://schemas.openxmlformats.org/officeDocument/2006/relationships/hyperlink" Id="rId81" Target="https://doi.org/10.1016/j.xinn.2021.100141" TargetMode="External" /><Relationship Type="http://schemas.openxmlformats.org/officeDocument/2006/relationships/hyperlink" Id="rId71" Target="https://doi.org/10.1038/nrd.2018.168" TargetMode="External" /><Relationship Type="http://schemas.openxmlformats.org/officeDocument/2006/relationships/hyperlink" Id="rId49" Target="https://doi.org/10.1038/nrg2918" TargetMode="External" /><Relationship Type="http://schemas.openxmlformats.org/officeDocument/2006/relationships/hyperlink" Id="rId61" Target="https://doi.org/10.1038/s41572-020-00224-3" TargetMode="External" /><Relationship Type="http://schemas.openxmlformats.org/officeDocument/2006/relationships/hyperlink" Id="rId47" Target="https://doi.org/10.1056/NEJMoa0912217" TargetMode="External" /><Relationship Type="http://schemas.openxmlformats.org/officeDocument/2006/relationships/hyperlink" Id="rId75" Target="https://doi.org/10.1073/pnas.0506580102" TargetMode="External" /><Relationship Type="http://schemas.openxmlformats.org/officeDocument/2006/relationships/hyperlink" Id="rId69" Target="https://doi.org/10.1093/nar/gkaa1027" TargetMode="External" /><Relationship Type="http://schemas.openxmlformats.org/officeDocument/2006/relationships/hyperlink" Id="rId55" Target="https://doi.org/10.1093/nar/gkaa1084" TargetMode="External" /><Relationship Type="http://schemas.openxmlformats.org/officeDocument/2006/relationships/hyperlink" Id="rId79" Target="https://doi.org/10.1093/nar/gkac1000" TargetMode="External" /><Relationship Type="http://schemas.openxmlformats.org/officeDocument/2006/relationships/hyperlink" Id="rId53" Target="https://doi.org/10.1093/nar/gkae1059" TargetMode="External" /><Relationship Type="http://schemas.openxmlformats.org/officeDocument/2006/relationships/hyperlink" Id="rId73" Target="https://doi.org/10.1093/nar/gkv007" TargetMode="External" /><Relationship Type="http://schemas.openxmlformats.org/officeDocument/2006/relationships/hyperlink" Id="rId65" Target="https://doi.org/10.1093/nar/gky1075" TargetMode="External" /><Relationship Type="http://schemas.openxmlformats.org/officeDocument/2006/relationships/hyperlink" Id="rId67" Target="https://doi.org/10.1186/1758-2946-5-30" TargetMode="External" /><Relationship Type="http://schemas.openxmlformats.org/officeDocument/2006/relationships/hyperlink" Id="rId77" Target="https://doi.org/10.3322/caac.216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2026-06-14T23:21:19Z</dcterms:created>
  <dcterms:modified xsi:type="dcterms:W3CDTF">2026-06-14T23:21:19Z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