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Plan de Figuras — HNSCC Drug Repurposing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Figuras principales por objetivo  |  Tesis de grado / Artículo científico</w:t>
      </w:r>
    </w:p>
    <w:p>
      <w:pPr>
        <w:spacing w:after="40" w:before="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Actualizado: 2026-04-11   |   Estado: Sec. 0 + OE1 completados</w:t>
      </w:r>
    </w:p>
    <w:p>
      <w:pPr>
        <w:spacing w:after="200" w:before="200"/>
      </w:pPr>
    </w:p>
    <w:p>
      <w:pPr>
        <w:pBdr>
          <w:bottom w:val="single" w:color="2E75B6" w:sz="8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Objetivo General</w:t>
      </w:r>
    </w:p>
    <w:p>
      <w:pPr>
        <w:spacing w:after="160" w:before="6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spacing w:after="160" w:before="160"/>
      </w:pPr>
    </w:p>
    <w:p>
      <w:pPr>
        <w:pBdr>
          <w:bottom w:val="single" w:color="2E75B6" w:sz="8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estado del proteoma en HNSCC comparado con tejido normal adyacente? ¿Qué procesos biológicos están alterados?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596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Sec0_FigA_PCA.pdf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Análisis de Componentes Principales (PCA) de las 20 muestras (10 pares tumor/normal). El PC1 separa tumor de tejido normal; la forma del punto distingue el estado de infección por VPH (trángulo = HPV+, círculo = HPV−). Las líneas conectan los pares del mismo paciente.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Sec0_FigB_volcano.pdf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Volcano plot del contraste Tumor vs. Tejido Normal (TVsS). Muestra 666 proteínas diferencialmente expresadas (FDR &lt; 0.05, |log2FC| &gt; 1): 329 sobreexpresadas (naranja) y 337 subexpresadas (azul). Se etiquetan proteínas de interés terapéutico (EGFR, PSMB2, PSMA1, DNMT1, NDUFA9, NDUFS3).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Sec0_FigC_heatmap_topDE.pdf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calor de las top 40 proteínas DE (20 más sobreexpresadas + 20 más subexpresadas) en las 20 muestras. Los valores son Z-score por proteína. Las barras superiores indican condición (tumor/normal) y estado HPV por muestra.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Sec0_FigD_hallmarks_gsea.pdf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GSEA sobre la colección Hallmarks MSigDB (50 gene sets). Barplot horizontal ordenado por NES. Rojo = activado en tumor; azul = reprimido en tumor. Identifica la perturbación del metabolismo oxidativo (OXPHOS reprimido) y la activación de proliferación celular, lo que fundamenta la estrategia de búsqueda farmacológica.</w:t>
            </w:r>
          </w:p>
        </w:tc>
      </w:tr>
    </w:tbl>
    <w:p>
      <w:pPr>
        <w:spacing w:after="200" w:before="200"/>
      </w:pPr>
    </w:p>
    <w:p>
      <w:pPr>
        <w:pBdr>
          <w:bottom w:val="single" w:color="2E75B6" w:sz="8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Objetivo Específico 1 — Relacionar proteínas DE con fármacos</w:t>
      </w:r>
    </w:p>
    <w:p>
      <w:pPr>
        <w:spacing w:after="160" w:before="6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5960"/>
      </w:tblGrid>
      <w:tr>
        <w:trPr>
          <w:tblHeader/>
        </w:trP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9E1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OE1_FigA_drug_sources_bar.pdf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fármacos candidatos identificados por cada base de datos consultada (DGIdb, OpenTargets, L2S2, ChEMBL). Ilustra la estrategia multi-fuente y la cobertura diferencial de cada recurso.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OE1_FigB_drug_phase_dist.pdf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Distribución de las fases clínicas de los fármacos identificados. La mayoría corresponde a fármacos aprobados (Fase IV), lo que garantiza un perfil de seguridad establecido y viabilidad de reposicionamiento.</w:t>
            </w:r>
          </w:p>
        </w:tc>
      </w:tr>
      <w:tr>
        <w:tc>
          <w:tcPr>
            <w:tcW w:type="dxa" w:w="6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OE1_FigC_upset_sources.pdf</w:t>
            </w:r>
          </w:p>
        </w:tc>
        <w:tc>
          <w:tcPr>
            <w:tcW w:type="dxa" w:w="5960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2F7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Diagrama UpSet de solapamiento entre las cuatro bases de datos consultadas. Muestra cuántos candidatos son respaldados por una única fuente y cuántos tienen evidencia convergente en múltiples bases (mayor confianza). Los candidatos en la intersección de todas las fuentes constituyen el núcleo de mayor prioridad para el OE2.</w:t>
            </w:r>
          </w:p>
        </w:tc>
      </w:tr>
    </w:tbl>
    <w:p>
      <w:pPr>
        <w:spacing w:after="200" w:before="200"/>
      </w:pPr>
    </w:p>
    <w:p>
      <w:pPr>
        <w:pBdr>
          <w:bottom w:val="single" w:color="2E75B6" w:sz="8" w:space="4"/>
        </w:pBdr>
        <w:spacing w:after="120" w:before="32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Pendientes — OE2 y OE3</w:t>
      </w:r>
    </w:p>
    <w:p>
      <w:pPr>
        <w:spacing w:after="60" w:before="120"/>
      </w:pPr>
      <w:r>
        <w:rPr>
          <w:rFonts w:ascii="Arial" w:cs="Arial" w:eastAsia="Arial" w:hAnsi="Arial"/>
          <w:i/>
          <w:iCs/>
          <w:color w:val="A0A0A0"/>
          <w:sz w:val="20"/>
          <w:szCs w:val="20"/>
        </w:rPr>
        <w:t xml:space="preserve">[Pendiente] OE2: Priorizar candidatos por conectividad, rutas y redes — Figuras D1 (degree vs. logFC), D2 (scoring components), D3 (top 20 lollipop).</w:t>
      </w:r>
    </w:p>
    <w:p>
      <w:pPr>
        <w:spacing w:after="60" w:before="120"/>
      </w:pPr>
      <w:r>
        <w:rPr>
          <w:rFonts w:ascii="Arial" w:cs="Arial" w:eastAsia="Arial" w:hAnsi="Arial"/>
          <w:i/>
          <w:iCs/>
          <w:color w:val="A0A0A0"/>
          <w:sz w:val="20"/>
          <w:szCs w:val="20"/>
        </w:rPr>
        <w:t xml:space="preserve">[Pendiente] OE3: Contrastar clínica y bibliográficamente los candidatos priorizados — Figuras E1 (evidence heatmap), F1 (bump chart), F2 (stability bar).</w:t>
      </w:r>
    </w:p>
    <w:p>
      <w:pPr>
        <w:spacing w:after="80" w:before="80"/>
      </w:pPr>
    </w:p>
    <w:p>
      <w:pPr>
        <w:pBdr>
          <w:top w:val="single" w:color="BDD7EE" w:sz="4" w:space="4"/>
        </w:pBdr>
        <w:spacing w:after="0" w:before="160"/>
      </w:pPr>
      <w:r>
        <w:rPr>
          <w:rFonts w:ascii="Arial" w:cs="Arial" w:eastAsia="Arial" w:hAnsi="Arial"/>
          <w:color w:val="AAAAAA"/>
          <w:sz w:val="16"/>
          <w:szCs w:val="16"/>
        </w:rPr>
        <w:t xml:space="preserve">Archivo generado automáticamente | hnscc_drug_repurposing | 2026-04-11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2026-04-11T22:16:56.518Z</dcterms:created>
  <dcterms:modified xsi:type="dcterms:W3CDTF">2026-04-11T22:16:56.518Z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