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056F0" w14:textId="7AA0647D" w:rsidR="000312A9" w:rsidRDefault="00FF0F8B" w:rsidP="00102673">
      <w:r>
        <w:t xml:space="preserve"> </w:t>
      </w:r>
      <w:r w:rsidR="000312A9">
        <w:t>Layout style</w:t>
      </w:r>
    </w:p>
    <w:p w14:paraId="6D795D38" w14:textId="5D793232" w:rsidR="009842A9" w:rsidRDefault="000312A9" w:rsidP="00102673">
      <w:hyperlink r:id="rId4" w:history="1">
        <w:r w:rsidRPr="00E0584C">
          <w:rPr>
            <w:rStyle w:val="Hyperlink"/>
          </w:rPr>
          <w:t>https://www.mouse-motors.com/Czinger-Chicago</w:t>
        </w:r>
      </w:hyperlink>
    </w:p>
    <w:p w14:paraId="5D733F6B" w14:textId="32ADB432" w:rsidR="000312A9" w:rsidRDefault="000312A9" w:rsidP="00102673">
      <w:hyperlink r:id="rId5" w:history="1">
        <w:r w:rsidRPr="00E0584C">
          <w:rPr>
            <w:rStyle w:val="Hyperlink"/>
          </w:rPr>
          <w:t>https://www.mouse-motors.com/encor</w:t>
        </w:r>
      </w:hyperlink>
    </w:p>
    <w:p w14:paraId="75D15986" w14:textId="50634D4E" w:rsidR="002052BC" w:rsidRPr="000312A9" w:rsidRDefault="000312A9" w:rsidP="000312A9">
      <w:pPr>
        <w:rPr>
          <w:b/>
          <w:bCs/>
          <w:lang w:val="en-US"/>
        </w:rPr>
      </w:pPr>
      <w:r w:rsidRPr="000312A9">
        <w:rPr>
          <w:b/>
          <w:bCs/>
          <w:lang w:val="en-US"/>
        </w:rPr>
        <w:t>PRODUCT PAGE</w:t>
      </w:r>
      <w:r w:rsidR="00A74069">
        <w:rPr>
          <w:b/>
          <w:bCs/>
          <w:lang w:val="en-US"/>
        </w:rPr>
        <w:t xml:space="preserve"> </w:t>
      </w:r>
      <w:r w:rsidR="003F448B">
        <w:rPr>
          <w:b/>
          <w:bCs/>
          <w:lang w:val="en-US"/>
        </w:rPr>
        <w:t>THE AUTOMOTIVE ADVISORY GROUP</w:t>
      </w:r>
    </w:p>
    <w:p w14:paraId="27697571" w14:textId="77777777" w:rsidR="000312A9" w:rsidRDefault="000312A9" w:rsidP="00102673"/>
    <w:p w14:paraId="36C10B4E" w14:textId="77777777" w:rsidR="000312A9" w:rsidRPr="000312A9" w:rsidRDefault="000312A9" w:rsidP="00102673"/>
    <w:p w14:paraId="3BC3C8B0" w14:textId="60F6CBBF" w:rsidR="00102673" w:rsidRPr="00534E2B" w:rsidRDefault="00436B8B" w:rsidP="00436B8B">
      <w:pPr>
        <w:jc w:val="center"/>
        <w:rPr>
          <w:b/>
          <w:bCs/>
          <w:lang w:val="en-US"/>
        </w:rPr>
      </w:pPr>
      <w:r w:rsidRPr="00534E2B">
        <w:rPr>
          <w:b/>
          <w:bCs/>
          <w:lang w:val="en-US"/>
        </w:rPr>
        <w:t>Hero Image</w:t>
      </w:r>
    </w:p>
    <w:p w14:paraId="0B76B075" w14:textId="02579B28" w:rsidR="00B90BD9" w:rsidRDefault="003F448B" w:rsidP="00DB4F51">
      <w:pPr>
        <w:jc w:val="center"/>
        <w:rPr>
          <w:lang w:val="en-US"/>
        </w:rPr>
      </w:pPr>
      <w:r>
        <w:rPr>
          <w:lang w:val="en-US"/>
        </w:rPr>
        <w:t xml:space="preserve">TAAG </w:t>
      </w:r>
      <w:r w:rsidR="00A01B9C">
        <w:rPr>
          <w:lang w:val="en-US"/>
        </w:rPr>
        <w:t>LOGO</w:t>
      </w:r>
    </w:p>
    <w:p w14:paraId="3C70D16F" w14:textId="383133C5" w:rsidR="005528DC" w:rsidRDefault="003F448B" w:rsidP="00B81B59">
      <w:pPr>
        <w:jc w:val="center"/>
      </w:pPr>
      <w:r>
        <w:t xml:space="preserve">REPRESENTING </w:t>
      </w:r>
      <w:r w:rsidR="00EA5125">
        <w:t xml:space="preserve">THE WORLD’S MOST AMBITIOUS </w:t>
      </w:r>
      <w:r w:rsidR="0053281C">
        <w:t>AUTOMOTIVE BRANDS</w:t>
      </w:r>
    </w:p>
    <w:p w14:paraId="0C95EF78" w14:textId="65B2540C" w:rsidR="00ED02DE" w:rsidRPr="00447E43" w:rsidRDefault="00ED02DE" w:rsidP="00102673">
      <w:pPr>
        <w:jc w:val="center"/>
        <w:rPr>
          <w:b/>
          <w:bCs/>
          <w:sz w:val="16"/>
          <w:szCs w:val="16"/>
        </w:rPr>
      </w:pPr>
    </w:p>
    <w:p w14:paraId="2E3B6428" w14:textId="06C8F9C0" w:rsidR="00436B8B" w:rsidRPr="00436B8B" w:rsidRDefault="00B960B9" w:rsidP="00102673">
      <w:pPr>
        <w:jc w:val="center"/>
      </w:pPr>
      <w:r>
        <w:rPr>
          <w:b/>
          <w:bCs/>
        </w:rPr>
        <w:t>We</w:t>
      </w:r>
      <w:r w:rsidR="00E835FE">
        <w:rPr>
          <w:b/>
          <w:bCs/>
        </w:rPr>
        <w:t xml:space="preserve">lcome to </w:t>
      </w:r>
      <w:r w:rsidR="00B1109B">
        <w:rPr>
          <w:b/>
          <w:bCs/>
        </w:rPr>
        <w:t>The Automotive Advisory Group</w:t>
      </w:r>
    </w:p>
    <w:p w14:paraId="27E1BFBD" w14:textId="77777777" w:rsidR="00BA7B62" w:rsidRPr="000B5359" w:rsidRDefault="00BA7B62" w:rsidP="00BA7B62">
      <w:r w:rsidRPr="000B5359">
        <w:t>For decades, The Automotive Advisory Group (TAAG) has operated at the intersection of premium automotive market entry, brand representation, and executive go-to-market strategy across Australia and New Zealand.</w:t>
      </w:r>
    </w:p>
    <w:p w14:paraId="1A858397" w14:textId="77777777" w:rsidR="00BA7B62" w:rsidRPr="000B5359" w:rsidRDefault="00BA7B62" w:rsidP="00BA7B62">
      <w:r w:rsidRPr="000B5359">
        <w:t>TAAG is uniquely positioned to guide emerging, specialist, and high-value automotive brands through successful market introduction and long-term commercial growth</w:t>
      </w:r>
      <w:r>
        <w:t xml:space="preserve">, </w:t>
      </w:r>
      <w:r w:rsidRPr="000B5359">
        <w:t>whether as a dedicated sales partner, strategic brand representative, EV market specialist, or executive management platform for OEMs entering the region. From boutique performance marques and luxury manufacturers to next-generation EV businesses and mobility platforms, TAAG provides the commercial leadership and market intelligence required to establish meaningful and sustainable presence.</w:t>
      </w:r>
    </w:p>
    <w:p w14:paraId="0F15E7BD" w14:textId="77777777" w:rsidR="00BA7B62" w:rsidRPr="000B5359" w:rsidRDefault="00BA7B62" w:rsidP="00BA7B62">
      <w:r w:rsidRPr="000B5359">
        <w:t>Our strength lies in combining unrivalled local market knowledge with deep operational experience across OEM, retail, luxury, collector, and electric vehicle sectors. TAAG can deliver the complete go-to-market solution</w:t>
      </w:r>
      <w:r>
        <w:t xml:space="preserve">, </w:t>
      </w:r>
      <w:r w:rsidRPr="000B5359">
        <w:t>from market assessment, brand positioning, dealer strategy, sales channel development, and customer journey design, through to launch execution, executive leadership, and ongoing commercial stewardship or provide tailored support services that strengthen an existing operation.</w:t>
      </w:r>
    </w:p>
    <w:p w14:paraId="46C18C69" w14:textId="3A1706C8" w:rsidR="002A531F" w:rsidRDefault="00254C0A" w:rsidP="002A531F">
      <w:pPr>
        <w:spacing w:after="200" w:line="276" w:lineRule="auto"/>
        <w:rPr>
          <w:b/>
          <w:bCs/>
        </w:rPr>
      </w:pPr>
      <w:r>
        <w:rPr>
          <w:b/>
          <w:bCs/>
        </w:rPr>
        <w:t>Core Capabilitie</w:t>
      </w:r>
      <w:r w:rsidR="00BA7B62">
        <w:rPr>
          <w:b/>
          <w:bCs/>
        </w:rPr>
        <w:t>s</w:t>
      </w:r>
    </w:p>
    <w:p w14:paraId="61446182" w14:textId="4D17C5DB" w:rsidR="00F61B27" w:rsidRDefault="003F268D" w:rsidP="00F61B27">
      <w:pPr>
        <w:spacing w:after="200" w:line="276" w:lineRule="auto"/>
        <w:rPr>
          <w:rFonts w:ascii="Aptos" w:eastAsiaTheme="majorEastAsia" w:hAnsi="Aptos" w:cstheme="majorBidi"/>
        </w:rPr>
      </w:pPr>
      <w:r w:rsidRPr="00BA7B62">
        <w:rPr>
          <w:rFonts w:ascii="Aptos" w:eastAsiaTheme="majorEastAsia" w:hAnsi="Aptos" w:cstheme="majorBidi"/>
          <w:b/>
          <w:bCs/>
        </w:rPr>
        <w:t>MARKET ENTRY STRATEGY &amp; COMPET</w:t>
      </w:r>
      <w:r w:rsidR="001D6F74" w:rsidRPr="00BA7B62">
        <w:rPr>
          <w:rFonts w:ascii="Aptos" w:eastAsiaTheme="majorEastAsia" w:hAnsi="Aptos" w:cstheme="majorBidi"/>
          <w:b/>
          <w:bCs/>
        </w:rPr>
        <w:t>ATIVE ANAYSI</w:t>
      </w:r>
      <w:r w:rsidR="00F61B27" w:rsidRPr="00BA7B62">
        <w:rPr>
          <w:rFonts w:ascii="Aptos" w:eastAsiaTheme="majorEastAsia" w:hAnsi="Aptos" w:cstheme="majorBidi"/>
          <w:b/>
          <w:bCs/>
        </w:rPr>
        <w:t>S</w:t>
      </w:r>
      <w:r w:rsidR="002F02D2">
        <w:rPr>
          <w:rFonts w:ascii="Aptos" w:eastAsiaTheme="majorEastAsia" w:hAnsi="Aptos" w:cstheme="majorBidi"/>
          <w:b/>
          <w:bCs/>
        </w:rPr>
        <w:t xml:space="preserve"> + Image</w:t>
      </w:r>
      <w:r w:rsidR="00F61B27">
        <w:rPr>
          <w:rFonts w:ascii="Aptos" w:eastAsiaTheme="majorEastAsia" w:hAnsi="Aptos" w:cstheme="majorBidi"/>
        </w:rPr>
        <w:t xml:space="preserve"> - </w:t>
      </w:r>
      <w:r w:rsidR="00F61B27" w:rsidRPr="00F61B27">
        <w:rPr>
          <w:rFonts w:ascii="Aptos" w:eastAsiaTheme="majorEastAsia" w:hAnsi="Aptos" w:cstheme="majorBidi"/>
        </w:rPr>
        <w:t>Defining the pathway to Australia and New Zealand requires more than route-to-market planning</w:t>
      </w:r>
      <w:r w:rsidR="00F61B27">
        <w:rPr>
          <w:rFonts w:ascii="Aptos" w:eastAsiaTheme="majorEastAsia" w:hAnsi="Aptos" w:cstheme="majorBidi"/>
        </w:rPr>
        <w:t xml:space="preserve">, </w:t>
      </w:r>
      <w:r w:rsidR="0040428B">
        <w:rPr>
          <w:rFonts w:ascii="Aptos" w:eastAsiaTheme="majorEastAsia" w:hAnsi="Aptos" w:cstheme="majorBidi"/>
        </w:rPr>
        <w:t>i</w:t>
      </w:r>
      <w:r w:rsidR="00F61B27" w:rsidRPr="00F61B27">
        <w:rPr>
          <w:rFonts w:ascii="Aptos" w:eastAsiaTheme="majorEastAsia" w:hAnsi="Aptos" w:cstheme="majorBidi"/>
        </w:rPr>
        <w:t>t demands a clear understanding of where the brand should sit within the market and how it can succeed long term. TAAG advises on commercial model, distribution architecture, pricing position, competitor landscape, customer profile, demand signals, launch readiness, and long-term viability.</w:t>
      </w:r>
    </w:p>
    <w:p w14:paraId="2E45B0FE" w14:textId="77777777" w:rsidR="002F02D2" w:rsidRDefault="002F02D2" w:rsidP="00BA7B62">
      <w:pPr>
        <w:spacing w:after="200" w:line="276" w:lineRule="auto"/>
        <w:jc w:val="right"/>
        <w:rPr>
          <w:b/>
          <w:bCs/>
        </w:rPr>
      </w:pPr>
    </w:p>
    <w:p w14:paraId="1FBA6153" w14:textId="77777777" w:rsidR="002F02D2" w:rsidRDefault="002F02D2" w:rsidP="00BA7B62">
      <w:pPr>
        <w:spacing w:after="200" w:line="276" w:lineRule="auto"/>
        <w:jc w:val="right"/>
        <w:rPr>
          <w:b/>
          <w:bCs/>
        </w:rPr>
      </w:pPr>
    </w:p>
    <w:p w14:paraId="15203BFA" w14:textId="77777777" w:rsidR="002F02D2" w:rsidRDefault="002F02D2" w:rsidP="00BA7B62">
      <w:pPr>
        <w:spacing w:after="200" w:line="276" w:lineRule="auto"/>
        <w:jc w:val="right"/>
        <w:rPr>
          <w:b/>
          <w:bCs/>
        </w:rPr>
      </w:pPr>
    </w:p>
    <w:p w14:paraId="5F81C871" w14:textId="4C348006" w:rsidR="00BA7B62" w:rsidRDefault="00BA7B62" w:rsidP="00BA7B62">
      <w:pPr>
        <w:spacing w:after="200" w:line="276" w:lineRule="auto"/>
        <w:jc w:val="right"/>
        <w:rPr>
          <w:rFonts w:ascii="Aptos" w:eastAsiaTheme="majorEastAsia" w:hAnsi="Aptos" w:cstheme="majorBidi"/>
        </w:rPr>
      </w:pPr>
      <w:r>
        <w:rPr>
          <w:b/>
          <w:bCs/>
        </w:rPr>
        <w:lastRenderedPageBreak/>
        <w:t>BRAND REPRESENTATION</w:t>
      </w:r>
      <w:r>
        <w:rPr>
          <w:b/>
          <w:bCs/>
        </w:rPr>
        <w:t xml:space="preserve"> + Image</w:t>
      </w:r>
    </w:p>
    <w:p w14:paraId="7BA7004F" w14:textId="056F9F05" w:rsidR="002F02D2" w:rsidRPr="000B5359" w:rsidRDefault="002F02D2" w:rsidP="00360D1F">
      <w:r w:rsidRPr="000B5359">
        <w:t xml:space="preserve">Brand representation at TAAG is built on alignment, not appointment. We act as the </w:t>
      </w:r>
      <w:proofErr w:type="gramStart"/>
      <w:r w:rsidRPr="000B5359">
        <w:t xml:space="preserve">physical </w:t>
      </w:r>
      <w:r w:rsidR="00360D1F">
        <w:t xml:space="preserve"> </w:t>
      </w:r>
      <w:r w:rsidRPr="000B5359">
        <w:t>and</w:t>
      </w:r>
      <w:proofErr w:type="gramEnd"/>
      <w:r w:rsidRPr="000B5359">
        <w:t xml:space="preserve"> strategic extension of a marque within the Australian and New Zealand markets</w:t>
      </w:r>
      <w:r>
        <w:t xml:space="preserve">, </w:t>
      </w:r>
      <w:r w:rsidRPr="000B5359">
        <w:t xml:space="preserve">translating global intent into a locally resonant presence without diluting its origin. This spans far beyond traditional dealer or distributor models; it is about </w:t>
      </w:r>
      <w:r>
        <w:t>representation</w:t>
      </w:r>
      <w:r w:rsidRPr="000B5359">
        <w:t xml:space="preserve"> of the brand at every touchpoint. From first market entry through to ongoing client engagement, we ensure that narrative, positioning, and commercial execution remain consistent, considered, and true to the marque’s DNA. The result is a presence that feels both globally authentic and locally embedded.</w:t>
      </w:r>
    </w:p>
    <w:p w14:paraId="67110A17" w14:textId="35E179A6" w:rsidR="00665C9B" w:rsidRPr="00665C9B" w:rsidRDefault="00665C9B" w:rsidP="00665C9B">
      <w:pPr>
        <w:spacing w:after="200" w:line="276" w:lineRule="auto"/>
        <w:rPr>
          <w:b/>
          <w:bCs/>
        </w:rPr>
      </w:pPr>
      <w:r>
        <w:rPr>
          <w:b/>
          <w:bCs/>
        </w:rPr>
        <w:t xml:space="preserve">ELECTRIC VEHICLE AND FUTURE MOBILITY </w:t>
      </w:r>
      <w:r>
        <w:rPr>
          <w:b/>
          <w:bCs/>
        </w:rPr>
        <w:t>+ Image</w:t>
      </w:r>
    </w:p>
    <w:p w14:paraId="394C401D" w14:textId="77777777" w:rsidR="00665C9B" w:rsidRDefault="00665C9B" w:rsidP="00665C9B">
      <w:r w:rsidRPr="00250BDA">
        <w:t>TA</w:t>
      </w:r>
      <w:r>
        <w:t>A</w:t>
      </w:r>
      <w:r w:rsidRPr="00250BDA">
        <w:t xml:space="preserve">G </w:t>
      </w:r>
      <w:r>
        <w:t xml:space="preserve">also </w:t>
      </w:r>
      <w:r w:rsidRPr="00250BDA">
        <w:t xml:space="preserve">advises </w:t>
      </w:r>
      <w:r>
        <w:t>on</w:t>
      </w:r>
      <w:r w:rsidRPr="00250BDA">
        <w:t xml:space="preserve"> electric vehicle transformation and future mobility strategy</w:t>
      </w:r>
      <w:r>
        <w:t xml:space="preserve">, </w:t>
      </w:r>
      <w:r w:rsidRPr="00250BDA">
        <w:t xml:space="preserve">supporting OEMs, new entrants, and premium brands navigating one of the most significant shifts in automotive history. </w:t>
      </w:r>
    </w:p>
    <w:p w14:paraId="3D447D3D" w14:textId="77777777" w:rsidR="00665C9B" w:rsidRPr="00250BDA" w:rsidRDefault="00665C9B" w:rsidP="00665C9B">
      <w:r w:rsidRPr="00250BDA">
        <w:t xml:space="preserve">This capability is underpinned by first-hand experience in pioneering electric vehicles in Australia, including the introduction of Tesla during its earliest global expansion phase. Operating without established infrastructure, policy frameworks, or market familiarity, </w:t>
      </w:r>
      <w:r>
        <w:t>our</w:t>
      </w:r>
      <w:r w:rsidRPr="00250BDA">
        <w:t xml:space="preserve"> leadership played a direct role in localising the brand, managing compliance, educating customers, and building early demand in a sceptical market. That experience now informs a pragmatic, insight-led advisory model</w:t>
      </w:r>
      <w:r>
        <w:t xml:space="preserve">, </w:t>
      </w:r>
      <w:r w:rsidRPr="00250BDA">
        <w:t>one that understands both the ambition of EV transformation and the operational realities required to deliver it successfully in-market.</w:t>
      </w:r>
    </w:p>
    <w:p w14:paraId="07856BCC" w14:textId="77777777" w:rsidR="00665C9B" w:rsidRPr="00250BDA" w:rsidRDefault="00665C9B" w:rsidP="00665C9B">
      <w:r w:rsidRPr="00250BDA">
        <w:t>Our approach combines market-entry strategy, regulatory understanding, infrastructure alignment, and brand positioning to ensure EV programs are not only technically viable, but commercially and culturally successful. We work across the full lifecycle</w:t>
      </w:r>
      <w:r>
        <w:t xml:space="preserve">, </w:t>
      </w:r>
      <w:r w:rsidRPr="00250BDA">
        <w:t>from early-stage market assessment and go-to-market design, through to retail execution, customer experience, and long-term network development</w:t>
      </w:r>
      <w:r>
        <w:t xml:space="preserve">, </w:t>
      </w:r>
      <w:r w:rsidRPr="00250BDA">
        <w:t>ensuring each brand is positioned with clarity, credibility, and relevance in a rapidly evolving landscape.</w:t>
      </w:r>
    </w:p>
    <w:p w14:paraId="271A5C1B" w14:textId="77777777" w:rsidR="00665C9B" w:rsidRDefault="00665C9B" w:rsidP="00F61B27">
      <w:pPr>
        <w:spacing w:after="200" w:line="276" w:lineRule="auto"/>
        <w:rPr>
          <w:rFonts w:ascii="Aptos" w:eastAsiaTheme="majorEastAsia" w:hAnsi="Aptos" w:cstheme="majorBidi"/>
        </w:rPr>
      </w:pPr>
    </w:p>
    <w:p w14:paraId="5A40822B" w14:textId="2A2D5A64" w:rsidR="00B221F6" w:rsidRDefault="00B221F6" w:rsidP="00665C9B">
      <w:pPr>
        <w:spacing w:after="200" w:line="276" w:lineRule="auto"/>
        <w:jc w:val="right"/>
        <w:rPr>
          <w:b/>
          <w:bCs/>
        </w:rPr>
      </w:pPr>
      <w:r>
        <w:rPr>
          <w:b/>
          <w:bCs/>
        </w:rPr>
        <w:t xml:space="preserve">STRATEGIC RELATIONSHIPS </w:t>
      </w:r>
      <w:r>
        <w:rPr>
          <w:b/>
          <w:bCs/>
        </w:rPr>
        <w:t>+ Image</w:t>
      </w:r>
    </w:p>
    <w:p w14:paraId="06517BA7" w14:textId="77777777" w:rsidR="00B221F6" w:rsidRPr="00FE0104" w:rsidRDefault="00B221F6" w:rsidP="00665C9B">
      <w:pPr>
        <w:jc w:val="right"/>
      </w:pPr>
      <w:r w:rsidRPr="00FE0104">
        <w:t>Strategic relationships at TAAG are deliberately built, not passively held. We operate at the centre of a curated network spanning OEMs, boutique manufacturers, collectors, distributors, and complementary luxury and lifestyle partner</w:t>
      </w:r>
      <w:r>
        <w:t xml:space="preserve">s, </w:t>
      </w:r>
      <w:r w:rsidRPr="00FE0104">
        <w:t xml:space="preserve">each connection selected for its relevance, credibility, and long-term alignment. These relationships are not transactional; they are structured to create mutual value, enabling brands to enter and operate within the market with immediate context, access, and trust. TAAG becomes the connective </w:t>
      </w:r>
      <w:r>
        <w:t xml:space="preserve">link, </w:t>
      </w:r>
      <w:r w:rsidRPr="00FE0104">
        <w:t>ensuring that the right conversations happen with the right people, at the right time.</w:t>
      </w:r>
    </w:p>
    <w:p w14:paraId="7F016039" w14:textId="77777777" w:rsidR="00B221F6" w:rsidRDefault="00B221F6" w:rsidP="00665C9B">
      <w:pPr>
        <w:jc w:val="right"/>
      </w:pPr>
      <w:r w:rsidRPr="00FE0104">
        <w:t>Whether facilitating market entry, unlocking distribution pathways, enabling brand collaborations, or introducing high-value clients, we ensure each interaction is purposeful and aligned with the broader strategic intent.</w:t>
      </w:r>
    </w:p>
    <w:p w14:paraId="48B853EB" w14:textId="77777777" w:rsidR="00B221F6" w:rsidRDefault="00B221F6" w:rsidP="00F61B27">
      <w:pPr>
        <w:spacing w:after="200" w:line="276" w:lineRule="auto"/>
        <w:rPr>
          <w:rFonts w:ascii="Aptos" w:eastAsiaTheme="majorEastAsia" w:hAnsi="Aptos" w:cstheme="majorBidi"/>
        </w:rPr>
      </w:pPr>
    </w:p>
    <w:p w14:paraId="195BD72C" w14:textId="77777777" w:rsidR="00665C9B" w:rsidRDefault="00665C9B" w:rsidP="00F61B27">
      <w:pPr>
        <w:spacing w:after="200" w:line="276" w:lineRule="auto"/>
        <w:rPr>
          <w:rFonts w:ascii="Aptos" w:eastAsiaTheme="majorEastAsia" w:hAnsi="Aptos" w:cstheme="majorBidi"/>
          <w:b/>
          <w:bCs/>
        </w:rPr>
      </w:pPr>
    </w:p>
    <w:p w14:paraId="5F710C21" w14:textId="26049884" w:rsidR="00BA7B62" w:rsidRDefault="00B221F6" w:rsidP="00F61B27">
      <w:pPr>
        <w:spacing w:after="200" w:line="276" w:lineRule="auto"/>
        <w:rPr>
          <w:rFonts w:ascii="Aptos" w:eastAsiaTheme="majorEastAsia" w:hAnsi="Aptos" w:cstheme="majorBidi"/>
          <w:b/>
          <w:bCs/>
        </w:rPr>
      </w:pPr>
      <w:r w:rsidRPr="00B221F6">
        <w:rPr>
          <w:rFonts w:ascii="Aptos" w:eastAsiaTheme="majorEastAsia" w:hAnsi="Aptos" w:cstheme="majorBidi"/>
          <w:b/>
          <w:bCs/>
        </w:rPr>
        <w:lastRenderedPageBreak/>
        <w:t>LEADERSHIP</w:t>
      </w:r>
    </w:p>
    <w:p w14:paraId="7E156EA0" w14:textId="77777777" w:rsidR="00360D1F" w:rsidRPr="00B221F6" w:rsidRDefault="00B221F6" w:rsidP="00360D1F">
      <w:pPr>
        <w:spacing w:after="200" w:line="276" w:lineRule="auto"/>
        <w:rPr>
          <w:rFonts w:ascii="Aptos" w:eastAsiaTheme="majorEastAsia" w:hAnsi="Aptos" w:cstheme="majorBidi"/>
          <w:b/>
          <w:bCs/>
        </w:rPr>
      </w:pPr>
      <w:r>
        <w:rPr>
          <w:rFonts w:ascii="Aptos" w:eastAsiaTheme="majorEastAsia" w:hAnsi="Aptos" w:cstheme="majorBidi"/>
          <w:b/>
          <w:bCs/>
        </w:rPr>
        <w:t xml:space="preserve">JAY </w:t>
      </w:r>
      <w:proofErr w:type="spellStart"/>
      <w:r>
        <w:rPr>
          <w:rFonts w:ascii="Aptos" w:eastAsiaTheme="majorEastAsia" w:hAnsi="Aptos" w:cstheme="majorBidi"/>
          <w:b/>
          <w:bCs/>
        </w:rPr>
        <w:t>McCORMACK</w:t>
      </w:r>
      <w:proofErr w:type="spellEnd"/>
      <w:r>
        <w:rPr>
          <w:rFonts w:ascii="Aptos" w:eastAsiaTheme="majorEastAsia" w:hAnsi="Aptos" w:cstheme="majorBidi"/>
          <w:b/>
          <w:bCs/>
        </w:rPr>
        <w:t xml:space="preserve"> – </w:t>
      </w:r>
      <w:r w:rsidR="00360D1F">
        <w:rPr>
          <w:rFonts w:ascii="Aptos" w:eastAsiaTheme="majorEastAsia" w:hAnsi="Aptos" w:cstheme="majorBidi"/>
          <w:b/>
          <w:bCs/>
        </w:rPr>
        <w:t>Director &amp; Co-Founder + image</w:t>
      </w:r>
    </w:p>
    <w:p w14:paraId="5DFDBF66" w14:textId="0D064A40" w:rsidR="00901500" w:rsidRPr="00901500" w:rsidRDefault="00901500" w:rsidP="00901500">
      <w:pPr>
        <w:spacing w:after="200" w:line="276" w:lineRule="auto"/>
        <w:rPr>
          <w:rFonts w:ascii="Aptos" w:eastAsiaTheme="majorEastAsia" w:hAnsi="Aptos" w:cstheme="majorBidi"/>
        </w:rPr>
      </w:pPr>
      <w:r w:rsidRPr="00901500">
        <w:rPr>
          <w:rFonts w:ascii="Aptos" w:eastAsiaTheme="majorEastAsia" w:hAnsi="Aptos" w:cstheme="majorBidi"/>
        </w:rPr>
        <w:t xml:space="preserve">Jay McCormack is Director and Co-Founder of The Automotive Advisory Group, bringing more than three decades of experience across some of the most respected names in the global automotive industry. His career spans senior roles with Porsche, Tesla and McLaren, where he was instrumental in market </w:t>
      </w:r>
      <w:r>
        <w:rPr>
          <w:rFonts w:ascii="Aptos" w:eastAsiaTheme="majorEastAsia" w:hAnsi="Aptos" w:cstheme="majorBidi"/>
        </w:rPr>
        <w:t xml:space="preserve">introduction and </w:t>
      </w:r>
      <w:r w:rsidRPr="00901500">
        <w:rPr>
          <w:rFonts w:ascii="Aptos" w:eastAsiaTheme="majorEastAsia" w:hAnsi="Aptos" w:cstheme="majorBidi"/>
        </w:rPr>
        <w:t>development, brand positioning and the delivery of premium customer experiences across both established and emerging segments.</w:t>
      </w:r>
    </w:p>
    <w:p w14:paraId="2498EA89" w14:textId="58325AD2" w:rsidR="00901500" w:rsidRPr="00901500" w:rsidRDefault="00901500" w:rsidP="00901500">
      <w:pPr>
        <w:spacing w:after="200" w:line="276" w:lineRule="auto"/>
        <w:rPr>
          <w:rFonts w:ascii="Aptos" w:eastAsiaTheme="majorEastAsia" w:hAnsi="Aptos" w:cstheme="majorBidi"/>
        </w:rPr>
      </w:pPr>
      <w:r w:rsidRPr="00901500">
        <w:rPr>
          <w:rFonts w:ascii="Aptos" w:eastAsiaTheme="majorEastAsia" w:hAnsi="Aptos" w:cstheme="majorBidi"/>
        </w:rPr>
        <w:t xml:space="preserve">Jay later </w:t>
      </w:r>
      <w:r w:rsidRPr="00901500">
        <w:rPr>
          <w:rFonts w:ascii="Aptos" w:eastAsiaTheme="majorEastAsia" w:hAnsi="Aptos" w:cstheme="majorBidi"/>
        </w:rPr>
        <w:t>led</w:t>
      </w:r>
      <w:r w:rsidRPr="00901500">
        <w:rPr>
          <w:rFonts w:ascii="Aptos" w:eastAsiaTheme="majorEastAsia" w:hAnsi="Aptos" w:cstheme="majorBidi"/>
        </w:rPr>
        <w:t xml:space="preserve"> Classic Throttle Shop, </w:t>
      </w:r>
      <w:r>
        <w:rPr>
          <w:rFonts w:ascii="Aptos" w:eastAsiaTheme="majorEastAsia" w:hAnsi="Aptos" w:cstheme="majorBidi"/>
        </w:rPr>
        <w:t xml:space="preserve">helping </w:t>
      </w:r>
      <w:r w:rsidRPr="00901500">
        <w:rPr>
          <w:rFonts w:ascii="Aptos" w:eastAsiaTheme="majorEastAsia" w:hAnsi="Aptos" w:cstheme="majorBidi"/>
        </w:rPr>
        <w:t>build Australia’s leading classic and collector car businesses, before its integration into the Dutton Group. His experience bridges OEM, retail and collector markets, underpinned by a deep network and a practical understanding of how to successfully introduce, position and grow premium automotive brands in Australia and New Zealand.</w:t>
      </w:r>
    </w:p>
    <w:p w14:paraId="6A6E35C1" w14:textId="7C1C718F" w:rsidR="00B221F6" w:rsidRDefault="00B221F6" w:rsidP="00F61B27">
      <w:pPr>
        <w:spacing w:after="200" w:line="276" w:lineRule="auto"/>
        <w:rPr>
          <w:rFonts w:ascii="Aptos" w:eastAsiaTheme="majorEastAsia" w:hAnsi="Aptos" w:cstheme="majorBidi"/>
        </w:rPr>
      </w:pPr>
    </w:p>
    <w:p w14:paraId="299CFE44" w14:textId="77777777" w:rsidR="00B221F6" w:rsidRDefault="00B221F6" w:rsidP="00F61B27">
      <w:pPr>
        <w:spacing w:after="200" w:line="276" w:lineRule="auto"/>
        <w:rPr>
          <w:rFonts w:ascii="Aptos" w:eastAsiaTheme="majorEastAsia" w:hAnsi="Aptos" w:cstheme="majorBidi"/>
        </w:rPr>
      </w:pPr>
    </w:p>
    <w:p w14:paraId="58431189" w14:textId="77777777" w:rsidR="00360D1F" w:rsidRPr="00B221F6" w:rsidRDefault="00360D1F" w:rsidP="00360D1F">
      <w:pPr>
        <w:spacing w:after="200" w:line="276" w:lineRule="auto"/>
        <w:jc w:val="right"/>
        <w:rPr>
          <w:rFonts w:ascii="Aptos" w:eastAsiaTheme="majorEastAsia" w:hAnsi="Aptos" w:cstheme="majorBidi"/>
          <w:b/>
          <w:bCs/>
        </w:rPr>
      </w:pPr>
      <w:r>
        <w:rPr>
          <w:rFonts w:ascii="Aptos" w:eastAsiaTheme="majorEastAsia" w:hAnsi="Aptos" w:cstheme="majorBidi"/>
          <w:b/>
          <w:bCs/>
        </w:rPr>
        <w:t xml:space="preserve">ANDREW KERR - </w:t>
      </w:r>
      <w:r>
        <w:rPr>
          <w:rFonts w:ascii="Aptos" w:eastAsiaTheme="majorEastAsia" w:hAnsi="Aptos" w:cstheme="majorBidi"/>
          <w:b/>
          <w:bCs/>
        </w:rPr>
        <w:t>Director &amp; Co-Founder + image</w:t>
      </w:r>
    </w:p>
    <w:p w14:paraId="759263CA" w14:textId="67885E9E" w:rsidR="00901500" w:rsidRDefault="00901500" w:rsidP="00901500">
      <w:pPr>
        <w:spacing w:after="200" w:line="276" w:lineRule="auto"/>
        <w:rPr>
          <w:rFonts w:ascii="Aptos" w:eastAsiaTheme="majorEastAsia" w:hAnsi="Aptos" w:cstheme="majorBidi"/>
        </w:rPr>
      </w:pPr>
      <w:r w:rsidRPr="00901500">
        <w:rPr>
          <w:rFonts w:ascii="Aptos" w:eastAsiaTheme="majorEastAsia" w:hAnsi="Aptos" w:cstheme="majorBidi"/>
        </w:rPr>
        <w:t xml:space="preserve">Andrew Kerr is Director and Co-Founder of The Automotive Advisory Group, </w:t>
      </w:r>
      <w:r>
        <w:rPr>
          <w:rFonts w:ascii="Aptos" w:eastAsiaTheme="majorEastAsia" w:hAnsi="Aptos" w:cstheme="majorBidi"/>
        </w:rPr>
        <w:t>with</w:t>
      </w:r>
      <w:r w:rsidRPr="00901500">
        <w:rPr>
          <w:rFonts w:ascii="Aptos" w:eastAsiaTheme="majorEastAsia" w:hAnsi="Aptos" w:cstheme="majorBidi"/>
        </w:rPr>
        <w:t xml:space="preserve"> more than 15 years of experience with Porsche across senior sales and management roles. During this time, he developed a deep understanding of premium customer engagement, dealer network performance and the commercial dynamics required to successfully represent high-value automotive brands.</w:t>
      </w:r>
    </w:p>
    <w:p w14:paraId="0A8BEAA9" w14:textId="1D5EDAFE" w:rsidR="00901500" w:rsidRPr="00901500" w:rsidRDefault="00901500" w:rsidP="00901500">
      <w:pPr>
        <w:spacing w:after="200" w:line="276" w:lineRule="auto"/>
        <w:rPr>
          <w:rFonts w:ascii="Aptos" w:eastAsiaTheme="majorEastAsia" w:hAnsi="Aptos" w:cstheme="majorBidi"/>
        </w:rPr>
      </w:pPr>
      <w:r w:rsidRPr="00901500">
        <w:rPr>
          <w:rFonts w:ascii="Aptos" w:eastAsiaTheme="majorEastAsia" w:hAnsi="Aptos" w:cstheme="majorBidi"/>
        </w:rPr>
        <w:t xml:space="preserve">He later established </w:t>
      </w:r>
      <w:r>
        <w:rPr>
          <w:rFonts w:ascii="Aptos" w:eastAsiaTheme="majorEastAsia" w:hAnsi="Aptos" w:cstheme="majorBidi"/>
        </w:rPr>
        <w:t xml:space="preserve">Sullivan Kerr &amp; </w:t>
      </w:r>
      <w:r w:rsidRPr="00901500">
        <w:rPr>
          <w:rFonts w:ascii="Aptos" w:eastAsiaTheme="majorEastAsia" w:hAnsi="Aptos" w:cstheme="majorBidi"/>
        </w:rPr>
        <w:t xml:space="preserve">Kerr Collection, building a highly regarded presence in the luxury and performance segment with a focus on rare and collectible marques, and working in close alignment with globally recognised brands such as Koenigsegg and Gunther </w:t>
      </w:r>
      <w:proofErr w:type="spellStart"/>
      <w:r w:rsidRPr="00901500">
        <w:rPr>
          <w:rFonts w:ascii="Aptos" w:eastAsiaTheme="majorEastAsia" w:hAnsi="Aptos" w:cstheme="majorBidi"/>
        </w:rPr>
        <w:t>Werks</w:t>
      </w:r>
      <w:proofErr w:type="spellEnd"/>
      <w:r w:rsidRPr="00901500">
        <w:rPr>
          <w:rFonts w:ascii="Aptos" w:eastAsiaTheme="majorEastAsia" w:hAnsi="Aptos" w:cstheme="majorBidi"/>
        </w:rPr>
        <w:t xml:space="preserve">. Andrew’s experience combines OEM discipline with entrepreneurial execution, underpinned by a strong network and a practical understanding of how to position and grow premium automotive brands within </w:t>
      </w:r>
      <w:r>
        <w:rPr>
          <w:rFonts w:ascii="Aptos" w:eastAsiaTheme="majorEastAsia" w:hAnsi="Aptos" w:cstheme="majorBidi"/>
        </w:rPr>
        <w:t>Oceana region.</w:t>
      </w:r>
    </w:p>
    <w:p w14:paraId="23C1D017" w14:textId="77777777" w:rsidR="00901500" w:rsidRPr="00901500" w:rsidRDefault="00901500" w:rsidP="00901500">
      <w:pPr>
        <w:spacing w:after="200" w:line="276" w:lineRule="auto"/>
        <w:rPr>
          <w:rFonts w:ascii="Aptos" w:eastAsiaTheme="majorEastAsia" w:hAnsi="Aptos" w:cstheme="majorBidi"/>
        </w:rPr>
      </w:pPr>
    </w:p>
    <w:p w14:paraId="31D6DAB2" w14:textId="38814D55" w:rsidR="00360D1F" w:rsidRPr="00CE334E" w:rsidRDefault="00360D1F" w:rsidP="00360D1F">
      <w:r>
        <w:rPr>
          <w:b/>
          <w:bCs/>
        </w:rPr>
        <w:t xml:space="preserve">ADVISORY </w:t>
      </w:r>
      <w:proofErr w:type="spellStart"/>
      <w:r>
        <w:rPr>
          <w:b/>
          <w:bCs/>
        </w:rPr>
        <w:t>NETWORK+</w:t>
      </w:r>
      <w:r>
        <w:rPr>
          <w:b/>
          <w:bCs/>
        </w:rPr>
        <w:t>Image</w:t>
      </w:r>
      <w:proofErr w:type="spellEnd"/>
    </w:p>
    <w:p w14:paraId="5A42C6DF" w14:textId="77777777" w:rsidR="00360D1F" w:rsidRPr="00CE334E" w:rsidRDefault="00360D1F" w:rsidP="00360D1F">
      <w:r w:rsidRPr="00CE334E">
        <w:t>TAAG is supported by a select network of senior strategic advisors whose experience spans global OEM leadership, luxury automotive retail, international market entry, dealer network development, premium brand growth, and executive governance across multiple regions and marques.</w:t>
      </w:r>
    </w:p>
    <w:p w14:paraId="4ED451A5" w14:textId="77777777" w:rsidR="00360D1F" w:rsidRPr="00CE334E" w:rsidRDefault="00360D1F" w:rsidP="00360D1F">
      <w:r w:rsidRPr="00CE334E">
        <w:t>This advisory capability provides TAAG with access to decades of high-level automotive expertise across Europe, North America, Asia-Pacific and Australia</w:t>
      </w:r>
      <w:r>
        <w:t xml:space="preserve">, </w:t>
      </w:r>
      <w:r w:rsidRPr="00CE334E">
        <w:t>bringing perspective shaped by boardrooms, factory floors, retail networks, distributor operations, and some of the industry’s most complex commercial environments.</w:t>
      </w:r>
    </w:p>
    <w:p w14:paraId="424D11B7" w14:textId="77777777" w:rsidR="00360D1F" w:rsidRPr="00CE334E" w:rsidRDefault="00360D1F" w:rsidP="00360D1F">
      <w:r w:rsidRPr="00CE334E">
        <w:lastRenderedPageBreak/>
        <w:t>Their contribution strengthens TAAG’s ability to guide brands through market entry, representation strategy, network development, commercial transformation and long-term growth. It ensures our clients benefit not only from execution on the ground, but from strategic insight informed by some of the highest levels of automotive leadership globally.</w:t>
      </w:r>
    </w:p>
    <w:p w14:paraId="387068FF" w14:textId="0DDC05B9" w:rsidR="00360D1F" w:rsidRPr="00665C9B" w:rsidRDefault="00665C9B" w:rsidP="00665C9B">
      <w:pPr>
        <w:jc w:val="right"/>
        <w:rPr>
          <w:b/>
          <w:bCs/>
        </w:rPr>
      </w:pPr>
      <w:r w:rsidRPr="00665C9B">
        <w:rPr>
          <w:b/>
          <w:bCs/>
        </w:rPr>
        <w:t xml:space="preserve">WHY THE AUTOMOTIVE ADVISORY GROUP + </w:t>
      </w:r>
      <w:proofErr w:type="spellStart"/>
      <w:r w:rsidRPr="00665C9B">
        <w:rPr>
          <w:b/>
          <w:bCs/>
        </w:rPr>
        <w:t>iMAGE</w:t>
      </w:r>
      <w:proofErr w:type="spellEnd"/>
    </w:p>
    <w:p w14:paraId="703D99F2" w14:textId="3E2F5177" w:rsidR="00360FC0" w:rsidRPr="0001114C" w:rsidRDefault="00360FC0" w:rsidP="00665C9B">
      <w:pPr>
        <w:jc w:val="right"/>
      </w:pPr>
      <w:r w:rsidRPr="0001114C">
        <w:t>From global OEMs to ultra-low-volume manufacturers, TAAG helps brands navigate one of the world’s most complex yet rewarding automotive markets with clarity, credibility, and long-term commercial focus.</w:t>
      </w:r>
    </w:p>
    <w:p w14:paraId="13424DAC" w14:textId="77777777" w:rsidR="00665C9B" w:rsidRDefault="00665C9B" w:rsidP="00665C9B">
      <w:pPr>
        <w:spacing w:after="200" w:line="276" w:lineRule="auto"/>
        <w:jc w:val="right"/>
        <w:rPr>
          <w:rFonts w:ascii="Aptos" w:eastAsiaTheme="majorEastAsia" w:hAnsi="Aptos" w:cstheme="majorBidi"/>
        </w:rPr>
      </w:pPr>
      <w:r w:rsidRPr="00CB32FA">
        <w:rPr>
          <w:rFonts w:ascii="Aptos" w:eastAsiaTheme="majorEastAsia" w:hAnsi="Aptos" w:cstheme="majorBidi"/>
        </w:rPr>
        <w:t>Through our partner network</w:t>
      </w:r>
      <w:r>
        <w:rPr>
          <w:rFonts w:ascii="Aptos" w:eastAsiaTheme="majorEastAsia" w:hAnsi="Aptos" w:cstheme="majorBidi"/>
        </w:rPr>
        <w:t>s</w:t>
      </w:r>
      <w:r w:rsidRPr="00CB32FA">
        <w:rPr>
          <w:rFonts w:ascii="Aptos" w:eastAsiaTheme="majorEastAsia" w:hAnsi="Aptos" w:cstheme="majorBidi"/>
        </w:rPr>
        <w:t xml:space="preserve">, </w:t>
      </w:r>
      <w:r>
        <w:rPr>
          <w:rFonts w:ascii="Aptos" w:eastAsiaTheme="majorEastAsia" w:hAnsi="Aptos" w:cstheme="majorBidi"/>
        </w:rPr>
        <w:t xml:space="preserve">TAAG </w:t>
      </w:r>
      <w:r w:rsidRPr="00CB32FA">
        <w:rPr>
          <w:rFonts w:ascii="Aptos" w:eastAsiaTheme="majorEastAsia" w:hAnsi="Aptos" w:cstheme="majorBidi"/>
        </w:rPr>
        <w:t>represents some of the world’s most visionary automotive brands, including</w:t>
      </w:r>
      <w:r>
        <w:rPr>
          <w:rFonts w:ascii="Aptos" w:eastAsiaTheme="majorEastAsia" w:hAnsi="Aptos" w:cstheme="majorBidi"/>
        </w:rPr>
        <w:t xml:space="preserve"> </w:t>
      </w:r>
      <w:r w:rsidRPr="00CB32FA">
        <w:rPr>
          <w:rFonts w:ascii="Aptos" w:eastAsiaTheme="majorEastAsia" w:hAnsi="Aptos" w:cstheme="majorBidi"/>
        </w:rPr>
        <w:t>Zeigler</w:t>
      </w:r>
      <w:r>
        <w:rPr>
          <w:rFonts w:ascii="Aptos" w:eastAsiaTheme="majorEastAsia" w:hAnsi="Aptos" w:cstheme="majorBidi"/>
        </w:rPr>
        <w:t xml:space="preserve"> /</w:t>
      </w:r>
      <w:r w:rsidRPr="00CB32FA">
        <w:rPr>
          <w:rFonts w:ascii="Aptos" w:eastAsiaTheme="majorEastAsia" w:hAnsi="Aptos" w:cstheme="majorBidi"/>
        </w:rPr>
        <w:t xml:space="preserve"> Bailey, </w:t>
      </w:r>
      <w:proofErr w:type="spellStart"/>
      <w:r>
        <w:rPr>
          <w:rFonts w:ascii="Aptos" w:eastAsiaTheme="majorEastAsia" w:hAnsi="Aptos" w:cstheme="majorBidi"/>
        </w:rPr>
        <w:t>Encor</w:t>
      </w:r>
      <w:proofErr w:type="spellEnd"/>
      <w:r>
        <w:rPr>
          <w:rFonts w:ascii="Aptos" w:eastAsiaTheme="majorEastAsia" w:hAnsi="Aptos" w:cstheme="majorBidi"/>
        </w:rPr>
        <w:t xml:space="preserve"> Design, Classic Driver and Kerr Collection. We also maintain close </w:t>
      </w:r>
      <w:proofErr w:type="gramStart"/>
      <w:r>
        <w:rPr>
          <w:rFonts w:ascii="Aptos" w:eastAsiaTheme="majorEastAsia" w:hAnsi="Aptos" w:cstheme="majorBidi"/>
        </w:rPr>
        <w:t>strategic  relationships</w:t>
      </w:r>
      <w:proofErr w:type="gramEnd"/>
      <w:r>
        <w:rPr>
          <w:rFonts w:ascii="Aptos" w:eastAsiaTheme="majorEastAsia" w:hAnsi="Aptos" w:cstheme="majorBidi"/>
        </w:rPr>
        <w:t xml:space="preserve"> with brands such as Koenigsegg and </w:t>
      </w:r>
      <w:r w:rsidRPr="00CB32FA">
        <w:rPr>
          <w:rFonts w:ascii="Aptos" w:eastAsiaTheme="majorEastAsia" w:hAnsi="Aptos" w:cstheme="majorBidi"/>
        </w:rPr>
        <w:t xml:space="preserve">Gunther </w:t>
      </w:r>
      <w:proofErr w:type="spellStart"/>
      <w:r w:rsidRPr="00CB32FA">
        <w:rPr>
          <w:rFonts w:ascii="Aptos" w:eastAsiaTheme="majorEastAsia" w:hAnsi="Aptos" w:cstheme="majorBidi"/>
        </w:rPr>
        <w:t>Werks</w:t>
      </w:r>
      <w:proofErr w:type="spellEnd"/>
      <w:r>
        <w:rPr>
          <w:rFonts w:ascii="Aptos" w:eastAsiaTheme="majorEastAsia" w:hAnsi="Aptos" w:cstheme="majorBidi"/>
        </w:rPr>
        <w:t xml:space="preserve"> through Kerr Collection, the authorised sales and service partner in Australia. This allows us to support the broader brand ecosystem while preserving the integrity of the official retail and service network.</w:t>
      </w:r>
    </w:p>
    <w:p w14:paraId="71AA8BAF" w14:textId="77777777" w:rsidR="00665C9B" w:rsidRDefault="00665C9B" w:rsidP="00665C9B">
      <w:pPr>
        <w:spacing w:after="200" w:line="276" w:lineRule="auto"/>
        <w:jc w:val="right"/>
        <w:rPr>
          <w:rFonts w:ascii="Aptos" w:eastAsiaTheme="majorEastAsia" w:hAnsi="Aptos" w:cstheme="majorBidi"/>
        </w:rPr>
      </w:pPr>
      <w:r w:rsidRPr="00CB32FA">
        <w:rPr>
          <w:rFonts w:ascii="Aptos" w:eastAsiaTheme="majorEastAsia" w:hAnsi="Aptos" w:cstheme="majorBidi"/>
        </w:rPr>
        <w:t>We build the bridge between globally ambitious marques and the Australian collector market</w:t>
      </w:r>
      <w:r>
        <w:rPr>
          <w:rFonts w:ascii="Aptos" w:eastAsiaTheme="majorEastAsia" w:hAnsi="Aptos" w:cstheme="majorBidi"/>
        </w:rPr>
        <w:t xml:space="preserve">, </w:t>
      </w:r>
      <w:r w:rsidRPr="00CB32FA">
        <w:rPr>
          <w:rFonts w:ascii="Aptos" w:eastAsiaTheme="majorEastAsia" w:hAnsi="Aptos" w:cstheme="majorBidi"/>
        </w:rPr>
        <w:t>delivering seamless market entry, brand positioning, executive representation, and sales execution with the discretion and precision these brands demand.</w:t>
      </w:r>
    </w:p>
    <w:p w14:paraId="6C083736" w14:textId="1730E663" w:rsidR="0033052E" w:rsidRPr="0033052E" w:rsidRDefault="005B4E4E" w:rsidP="00DB4F51">
      <w:pPr>
        <w:jc w:val="right"/>
        <w:rPr>
          <w:b/>
          <w:bCs/>
        </w:rPr>
      </w:pPr>
      <w:r w:rsidRPr="00597FB9">
        <w:rPr>
          <w:b/>
          <w:bCs/>
        </w:rPr>
        <w:t>www.</w:t>
      </w:r>
      <w:r w:rsidR="00597FB9">
        <w:rPr>
          <w:b/>
          <w:bCs/>
        </w:rPr>
        <w:t>the</w:t>
      </w:r>
      <w:r w:rsidRPr="00597FB9">
        <w:rPr>
          <w:b/>
          <w:bCs/>
        </w:rPr>
        <w:t>automotive.group</w:t>
      </w:r>
    </w:p>
    <w:p w14:paraId="4245E46C" w14:textId="6B67111B" w:rsidR="006A7D6C" w:rsidRDefault="006A7D6C" w:rsidP="00C3761B">
      <w:pPr>
        <w:rPr>
          <w:b/>
          <w:bCs/>
        </w:rPr>
      </w:pPr>
      <w:r>
        <w:rPr>
          <w:b/>
          <w:bCs/>
        </w:rPr>
        <w:tab/>
      </w:r>
      <w:r>
        <w:rPr>
          <w:b/>
          <w:bCs/>
        </w:rPr>
        <w:tab/>
      </w:r>
      <w:r>
        <w:rPr>
          <w:b/>
          <w:bCs/>
        </w:rPr>
        <w:tab/>
      </w:r>
      <w:r>
        <w:rPr>
          <w:b/>
          <w:bCs/>
        </w:rPr>
        <w:tab/>
      </w:r>
      <w:r>
        <w:rPr>
          <w:b/>
          <w:bCs/>
        </w:rPr>
        <w:tab/>
      </w:r>
      <w:r>
        <w:rPr>
          <w:b/>
          <w:bCs/>
        </w:rPr>
        <w:tab/>
      </w:r>
      <w:r>
        <w:rPr>
          <w:b/>
          <w:bCs/>
        </w:rPr>
        <w:tab/>
      </w:r>
    </w:p>
    <w:p w14:paraId="04632C57" w14:textId="5E47952C" w:rsidR="00102673" w:rsidRDefault="00102673" w:rsidP="00C3761B">
      <w:pPr>
        <w:rPr>
          <w:b/>
          <w:bCs/>
          <w:lang w:val="en-US"/>
        </w:rPr>
      </w:pPr>
      <w:r>
        <w:rPr>
          <w:b/>
          <w:bCs/>
          <w:lang w:val="en-US"/>
        </w:rPr>
        <w:t xml:space="preserve">SELECTED GALLERY – </w:t>
      </w:r>
    </w:p>
    <w:p w14:paraId="76035968" w14:textId="51C2B35F" w:rsidR="00C3761B" w:rsidRDefault="00C3761B" w:rsidP="00C3761B">
      <w:pPr>
        <w:rPr>
          <w:b/>
          <w:bCs/>
        </w:rPr>
      </w:pPr>
      <w:r w:rsidRPr="00C3761B">
        <w:rPr>
          <w:b/>
          <w:bCs/>
        </w:rPr>
        <w:t>Begin a conversation</w:t>
      </w:r>
      <w:r>
        <w:rPr>
          <w:b/>
          <w:bCs/>
        </w:rPr>
        <w:t xml:space="preserve">  </w:t>
      </w:r>
    </w:p>
    <w:p w14:paraId="74D0A7A9" w14:textId="768ABD37" w:rsidR="00C3761B" w:rsidRDefault="00C3761B" w:rsidP="00C3761B">
      <w:pPr>
        <w:rPr>
          <w:b/>
          <w:bCs/>
        </w:rPr>
      </w:pPr>
      <w:r>
        <w:rPr>
          <w:b/>
          <w:bCs/>
        </w:rPr>
        <w:t xml:space="preserve">INSERT THE CONTACT FORM </w:t>
      </w:r>
    </w:p>
    <w:p w14:paraId="2D37A4C8" w14:textId="77777777" w:rsidR="00B645EB" w:rsidRDefault="00B645EB" w:rsidP="00C3761B">
      <w:pPr>
        <w:rPr>
          <w:b/>
          <w:bCs/>
        </w:rPr>
      </w:pPr>
    </w:p>
    <w:p w14:paraId="19940923" w14:textId="036DFAB5" w:rsidR="00C3761B" w:rsidRDefault="00C3761B" w:rsidP="00C3761B">
      <w:pPr>
        <w:rPr>
          <w:b/>
          <w:bCs/>
        </w:rPr>
      </w:pPr>
      <w:r>
        <w:rPr>
          <w:b/>
          <w:bCs/>
        </w:rPr>
        <w:t>NAME / EMAIL / PHONE</w:t>
      </w:r>
    </w:p>
    <w:p w14:paraId="70B7CFC8" w14:textId="291330D5" w:rsidR="00C3761B" w:rsidRPr="00C3761B" w:rsidRDefault="00C3761B" w:rsidP="00C3761B">
      <w:pPr>
        <w:rPr>
          <w:b/>
          <w:bCs/>
        </w:rPr>
      </w:pPr>
      <w:r>
        <w:rPr>
          <w:b/>
          <w:bCs/>
        </w:rPr>
        <w:t>MESSAGE</w:t>
      </w:r>
    </w:p>
    <w:p w14:paraId="5D42A681" w14:textId="291E7784" w:rsidR="00C3761B" w:rsidRPr="00A74069" w:rsidRDefault="00C3761B" w:rsidP="00436B8B">
      <w:pPr>
        <w:rPr>
          <w:b/>
          <w:bCs/>
        </w:rPr>
      </w:pPr>
      <w:r w:rsidRPr="00C3761B">
        <w:rPr>
          <w:b/>
          <w:bCs/>
          <w:vanish/>
        </w:rPr>
        <w:t>Top of Form</w:t>
      </w:r>
    </w:p>
    <w:sectPr w:rsidR="00C3761B" w:rsidRPr="00A740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B8B"/>
    <w:rsid w:val="00004A86"/>
    <w:rsid w:val="000312A9"/>
    <w:rsid w:val="000373DA"/>
    <w:rsid w:val="000516E8"/>
    <w:rsid w:val="00055E93"/>
    <w:rsid w:val="00071811"/>
    <w:rsid w:val="000960B5"/>
    <w:rsid w:val="000969B7"/>
    <w:rsid w:val="000C3C92"/>
    <w:rsid w:val="000D2955"/>
    <w:rsid w:val="000D2B6E"/>
    <w:rsid w:val="000F6465"/>
    <w:rsid w:val="000F7EA1"/>
    <w:rsid w:val="00102673"/>
    <w:rsid w:val="0012021F"/>
    <w:rsid w:val="00121116"/>
    <w:rsid w:val="001275B3"/>
    <w:rsid w:val="00130671"/>
    <w:rsid w:val="00141855"/>
    <w:rsid w:val="00150BD6"/>
    <w:rsid w:val="00155B37"/>
    <w:rsid w:val="001A0DC5"/>
    <w:rsid w:val="001D17A5"/>
    <w:rsid w:val="001D6F74"/>
    <w:rsid w:val="001E5400"/>
    <w:rsid w:val="002052BC"/>
    <w:rsid w:val="002375B8"/>
    <w:rsid w:val="00242306"/>
    <w:rsid w:val="00254C0A"/>
    <w:rsid w:val="00256715"/>
    <w:rsid w:val="00260D43"/>
    <w:rsid w:val="00265D27"/>
    <w:rsid w:val="00294A27"/>
    <w:rsid w:val="002A531F"/>
    <w:rsid w:val="002C4610"/>
    <w:rsid w:val="002E542D"/>
    <w:rsid w:val="002F02D2"/>
    <w:rsid w:val="003002A1"/>
    <w:rsid w:val="00324BC9"/>
    <w:rsid w:val="0033052E"/>
    <w:rsid w:val="0033140C"/>
    <w:rsid w:val="0033593E"/>
    <w:rsid w:val="003422BD"/>
    <w:rsid w:val="0035530A"/>
    <w:rsid w:val="00357F55"/>
    <w:rsid w:val="00360D1F"/>
    <w:rsid w:val="00360E65"/>
    <w:rsid w:val="00360FC0"/>
    <w:rsid w:val="00365B65"/>
    <w:rsid w:val="00375D73"/>
    <w:rsid w:val="003846AE"/>
    <w:rsid w:val="0039316A"/>
    <w:rsid w:val="003A2C39"/>
    <w:rsid w:val="003B6BAB"/>
    <w:rsid w:val="003B7E0D"/>
    <w:rsid w:val="003D3424"/>
    <w:rsid w:val="003D42CD"/>
    <w:rsid w:val="003D4791"/>
    <w:rsid w:val="003F268D"/>
    <w:rsid w:val="003F448B"/>
    <w:rsid w:val="0040308E"/>
    <w:rsid w:val="0040428B"/>
    <w:rsid w:val="00411857"/>
    <w:rsid w:val="00422BC5"/>
    <w:rsid w:val="00423159"/>
    <w:rsid w:val="00432392"/>
    <w:rsid w:val="00436B8B"/>
    <w:rsid w:val="00447E43"/>
    <w:rsid w:val="0047370F"/>
    <w:rsid w:val="00485622"/>
    <w:rsid w:val="004D33CE"/>
    <w:rsid w:val="004E21A8"/>
    <w:rsid w:val="005210E6"/>
    <w:rsid w:val="005314D6"/>
    <w:rsid w:val="0053281C"/>
    <w:rsid w:val="00534E2B"/>
    <w:rsid w:val="005528DC"/>
    <w:rsid w:val="00562716"/>
    <w:rsid w:val="00592E33"/>
    <w:rsid w:val="00597FB9"/>
    <w:rsid w:val="005B4E4E"/>
    <w:rsid w:val="005C239C"/>
    <w:rsid w:val="006010A2"/>
    <w:rsid w:val="00665C9B"/>
    <w:rsid w:val="00676918"/>
    <w:rsid w:val="00677F33"/>
    <w:rsid w:val="006869E2"/>
    <w:rsid w:val="00692DFA"/>
    <w:rsid w:val="006A3979"/>
    <w:rsid w:val="006A7D6C"/>
    <w:rsid w:val="006E00A8"/>
    <w:rsid w:val="006E16C5"/>
    <w:rsid w:val="006F51D5"/>
    <w:rsid w:val="00707FF7"/>
    <w:rsid w:val="00745AD3"/>
    <w:rsid w:val="00767C60"/>
    <w:rsid w:val="00784795"/>
    <w:rsid w:val="007A6B87"/>
    <w:rsid w:val="007C7B53"/>
    <w:rsid w:val="007D09AE"/>
    <w:rsid w:val="007E540C"/>
    <w:rsid w:val="007F5118"/>
    <w:rsid w:val="008068C6"/>
    <w:rsid w:val="00810427"/>
    <w:rsid w:val="0084426B"/>
    <w:rsid w:val="0085273D"/>
    <w:rsid w:val="00875954"/>
    <w:rsid w:val="00875C30"/>
    <w:rsid w:val="0087621D"/>
    <w:rsid w:val="008A7DBD"/>
    <w:rsid w:val="008B0DB3"/>
    <w:rsid w:val="008E344F"/>
    <w:rsid w:val="00901500"/>
    <w:rsid w:val="00901C86"/>
    <w:rsid w:val="0093482B"/>
    <w:rsid w:val="009615D2"/>
    <w:rsid w:val="009664DB"/>
    <w:rsid w:val="009842A9"/>
    <w:rsid w:val="00990375"/>
    <w:rsid w:val="00995D54"/>
    <w:rsid w:val="009F304E"/>
    <w:rsid w:val="009F517F"/>
    <w:rsid w:val="009F55C8"/>
    <w:rsid w:val="00A01B9C"/>
    <w:rsid w:val="00A15E40"/>
    <w:rsid w:val="00A17717"/>
    <w:rsid w:val="00A22F6E"/>
    <w:rsid w:val="00A424BD"/>
    <w:rsid w:val="00A5650F"/>
    <w:rsid w:val="00A6366B"/>
    <w:rsid w:val="00A74069"/>
    <w:rsid w:val="00A9175B"/>
    <w:rsid w:val="00AC03BB"/>
    <w:rsid w:val="00AD32D4"/>
    <w:rsid w:val="00AD5D6F"/>
    <w:rsid w:val="00B1109B"/>
    <w:rsid w:val="00B13165"/>
    <w:rsid w:val="00B221F6"/>
    <w:rsid w:val="00B27F56"/>
    <w:rsid w:val="00B44FBB"/>
    <w:rsid w:val="00B45580"/>
    <w:rsid w:val="00B61845"/>
    <w:rsid w:val="00B61F3B"/>
    <w:rsid w:val="00B645EB"/>
    <w:rsid w:val="00B71C91"/>
    <w:rsid w:val="00B81B59"/>
    <w:rsid w:val="00B90BD9"/>
    <w:rsid w:val="00B960B9"/>
    <w:rsid w:val="00BA7B62"/>
    <w:rsid w:val="00BD018F"/>
    <w:rsid w:val="00BD7934"/>
    <w:rsid w:val="00C1604F"/>
    <w:rsid w:val="00C3473C"/>
    <w:rsid w:val="00C37031"/>
    <w:rsid w:val="00C3761B"/>
    <w:rsid w:val="00C402A7"/>
    <w:rsid w:val="00C4366E"/>
    <w:rsid w:val="00C51DB8"/>
    <w:rsid w:val="00C836C1"/>
    <w:rsid w:val="00C87652"/>
    <w:rsid w:val="00CB25B5"/>
    <w:rsid w:val="00CB32FA"/>
    <w:rsid w:val="00CB34EC"/>
    <w:rsid w:val="00CB7BF9"/>
    <w:rsid w:val="00CD3674"/>
    <w:rsid w:val="00CE334E"/>
    <w:rsid w:val="00D31359"/>
    <w:rsid w:val="00D812DB"/>
    <w:rsid w:val="00D83A66"/>
    <w:rsid w:val="00D87B09"/>
    <w:rsid w:val="00DA7AFF"/>
    <w:rsid w:val="00DB29A5"/>
    <w:rsid w:val="00DB4F51"/>
    <w:rsid w:val="00DD30FB"/>
    <w:rsid w:val="00DD7207"/>
    <w:rsid w:val="00E01FEF"/>
    <w:rsid w:val="00E42701"/>
    <w:rsid w:val="00E462C4"/>
    <w:rsid w:val="00E46CED"/>
    <w:rsid w:val="00E57061"/>
    <w:rsid w:val="00E67443"/>
    <w:rsid w:val="00E73353"/>
    <w:rsid w:val="00E80846"/>
    <w:rsid w:val="00E835FE"/>
    <w:rsid w:val="00EA5125"/>
    <w:rsid w:val="00ED02DE"/>
    <w:rsid w:val="00ED2EA1"/>
    <w:rsid w:val="00EE6B8F"/>
    <w:rsid w:val="00EF0007"/>
    <w:rsid w:val="00F0651C"/>
    <w:rsid w:val="00F22F61"/>
    <w:rsid w:val="00F2382D"/>
    <w:rsid w:val="00F26B52"/>
    <w:rsid w:val="00F37753"/>
    <w:rsid w:val="00F52645"/>
    <w:rsid w:val="00F61B27"/>
    <w:rsid w:val="00F7395B"/>
    <w:rsid w:val="00F84C8C"/>
    <w:rsid w:val="00F8507A"/>
    <w:rsid w:val="00F86683"/>
    <w:rsid w:val="00F966B3"/>
    <w:rsid w:val="00FB6D3A"/>
    <w:rsid w:val="00FF0F8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B4B1E"/>
  <w15:chartTrackingRefBased/>
  <w15:docId w15:val="{89C4E906-473F-4BB0-95C5-4D509FB78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B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B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B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B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B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B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B8B"/>
    <w:rPr>
      <w:rFonts w:eastAsiaTheme="majorEastAsia" w:cstheme="majorBidi"/>
      <w:color w:val="272727" w:themeColor="text1" w:themeTint="D8"/>
    </w:rPr>
  </w:style>
  <w:style w:type="paragraph" w:styleId="Title">
    <w:name w:val="Title"/>
    <w:basedOn w:val="Normal"/>
    <w:next w:val="Normal"/>
    <w:link w:val="TitleChar"/>
    <w:uiPriority w:val="10"/>
    <w:qFormat/>
    <w:rsid w:val="00436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B8B"/>
    <w:pPr>
      <w:spacing w:before="160"/>
      <w:jc w:val="center"/>
    </w:pPr>
    <w:rPr>
      <w:i/>
      <w:iCs/>
      <w:color w:val="404040" w:themeColor="text1" w:themeTint="BF"/>
    </w:rPr>
  </w:style>
  <w:style w:type="character" w:customStyle="1" w:styleId="QuoteChar">
    <w:name w:val="Quote Char"/>
    <w:basedOn w:val="DefaultParagraphFont"/>
    <w:link w:val="Quote"/>
    <w:uiPriority w:val="29"/>
    <w:rsid w:val="00436B8B"/>
    <w:rPr>
      <w:i/>
      <w:iCs/>
      <w:color w:val="404040" w:themeColor="text1" w:themeTint="BF"/>
    </w:rPr>
  </w:style>
  <w:style w:type="paragraph" w:styleId="ListParagraph">
    <w:name w:val="List Paragraph"/>
    <w:basedOn w:val="Normal"/>
    <w:uiPriority w:val="34"/>
    <w:qFormat/>
    <w:rsid w:val="00436B8B"/>
    <w:pPr>
      <w:ind w:left="720"/>
      <w:contextualSpacing/>
    </w:pPr>
  </w:style>
  <w:style w:type="character" w:styleId="IntenseEmphasis">
    <w:name w:val="Intense Emphasis"/>
    <w:basedOn w:val="DefaultParagraphFont"/>
    <w:uiPriority w:val="21"/>
    <w:qFormat/>
    <w:rsid w:val="00436B8B"/>
    <w:rPr>
      <w:i/>
      <w:iCs/>
      <w:color w:val="0F4761" w:themeColor="accent1" w:themeShade="BF"/>
    </w:rPr>
  </w:style>
  <w:style w:type="paragraph" w:styleId="IntenseQuote">
    <w:name w:val="Intense Quote"/>
    <w:basedOn w:val="Normal"/>
    <w:next w:val="Normal"/>
    <w:link w:val="IntenseQuoteChar"/>
    <w:uiPriority w:val="30"/>
    <w:qFormat/>
    <w:rsid w:val="00436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B8B"/>
    <w:rPr>
      <w:i/>
      <w:iCs/>
      <w:color w:val="0F4761" w:themeColor="accent1" w:themeShade="BF"/>
    </w:rPr>
  </w:style>
  <w:style w:type="character" w:styleId="IntenseReference">
    <w:name w:val="Intense Reference"/>
    <w:basedOn w:val="DefaultParagraphFont"/>
    <w:uiPriority w:val="32"/>
    <w:qFormat/>
    <w:rsid w:val="00436B8B"/>
    <w:rPr>
      <w:b/>
      <w:bCs/>
      <w:smallCaps/>
      <w:color w:val="0F4761" w:themeColor="accent1" w:themeShade="BF"/>
      <w:spacing w:val="5"/>
    </w:rPr>
  </w:style>
  <w:style w:type="character" w:styleId="Hyperlink">
    <w:name w:val="Hyperlink"/>
    <w:basedOn w:val="DefaultParagraphFont"/>
    <w:uiPriority w:val="99"/>
    <w:unhideWhenUsed/>
    <w:rsid w:val="00C3761B"/>
    <w:rPr>
      <w:color w:val="467886" w:themeColor="hyperlink"/>
      <w:u w:val="single"/>
    </w:rPr>
  </w:style>
  <w:style w:type="character" w:styleId="UnresolvedMention">
    <w:name w:val="Unresolved Mention"/>
    <w:basedOn w:val="DefaultParagraphFont"/>
    <w:uiPriority w:val="99"/>
    <w:semiHidden/>
    <w:unhideWhenUsed/>
    <w:rsid w:val="00C376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mouse-motors.com/encor" TargetMode="External"/><Relationship Id="rId4" Type="http://schemas.openxmlformats.org/officeDocument/2006/relationships/hyperlink" Target="https://www.mouse-motors.com/Czinger-Chicag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306</TotalTime>
  <Pages>4</Pages>
  <Words>1331</Words>
  <Characters>7591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Mac</dc:creator>
  <cp:keywords/>
  <dc:description/>
  <cp:lastModifiedBy>Jay Mac</cp:lastModifiedBy>
  <cp:revision>18</cp:revision>
  <dcterms:created xsi:type="dcterms:W3CDTF">2026-05-04T07:31:00Z</dcterms:created>
  <dcterms:modified xsi:type="dcterms:W3CDTF">2026-05-04T12:48:00Z</dcterms:modified>
</cp:coreProperties>
</file>