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DD7A0">
      <w:pPr>
        <w:pStyle w:val="2"/>
        <w:keepNext w:val="0"/>
        <w:keepLines w:val="0"/>
        <w:widowControl/>
        <w:suppressLineNumbers w:val="0"/>
      </w:pPr>
      <w:bookmarkStart w:id="0" w:name="_GoBack"/>
      <w:r>
        <w:t>Hybrid Energy Storage Systems: Integrating Flow Batteries with Supercapacitors for Grid Stabilization</w:t>
      </w:r>
      <w:bookmarkEnd w:id="0"/>
    </w:p>
    <w:p w14:paraId="490E8664">
      <w:pPr>
        <w:pStyle w:val="5"/>
        <w:keepNext w:val="0"/>
        <w:keepLines w:val="0"/>
        <w:widowControl/>
        <w:suppressLineNumbers w:val="0"/>
      </w:pPr>
      <w:r>
        <w:t>Modern electricity grids face a significant stability challenge due to the intermittent nature of renewable energy sources like solar and wind power, necessitating advanced energy storage solutions. Traditional storage technologies, such as lithium-ion batteries, often face a trade-off between energy density (how much energy they store) and power density (how quickly they can charge and discharge). Hybrid Energy Storage Systems (HESS) offer a compelling solution by integrating complementary technologies—specifically, high-energy-density flow batteries with high-power-density supercapacitors—to provide a balanced response capability suitable for grid stabilization. This synergistic approach allows the system to manage both long-duration energy shifts and rapid, high-frequency fluctuations caused by abrupt changes in renewable generation or load demand.</w:t>
      </w:r>
    </w:p>
    <w:p w14:paraId="28F51B9C">
      <w:pPr>
        <w:pStyle w:val="5"/>
        <w:keepNext w:val="0"/>
        <w:keepLines w:val="0"/>
        <w:widowControl/>
        <w:suppressLineNumbers w:val="0"/>
      </w:pPr>
      <w:r>
        <w:t>The architectural design of a HESS is crucial, typically utilizing a sophisticated power electronic interface to manage the charge and discharge cycles of the distinct storage components. Flow batteries, which store energy in external liquid electrolyte tanks, are ideal for smoothing out variations lasting several hours, ensuring consistent energy supply. Conversely, supercapacitors, which store energy electrostatically, can inject or absorb large bursts of power within milliseconds, effectively damping out short-term voltage sags and surges that threaten grid stability and equipment integrity. The coordinated control strategy employs advanced algorithms that predict grid needs and dispatch power from the appropriate component, maximizing efficiency and component lifespan by reducing strain on the less durable storage element.</w:t>
      </w:r>
    </w:p>
    <w:p w14:paraId="1B148C21">
      <w:pPr>
        <w:pStyle w:val="5"/>
        <w:keepNext w:val="0"/>
        <w:keepLines w:val="0"/>
        <w:widowControl/>
        <w:suppressLineNumbers w:val="0"/>
      </w:pPr>
      <w:r>
        <w:t>Despite their theoretical advantages, the widespread commercial deployment of HESS requires overcoming challenges in system optimization and economic modeling. The complexity of the control algorithms, which must dynamically adjust to fluctuating market signals and weather patterns, demands robust, real-time computational infrastructure. Furthermore, accurate life-cycle cost analysis is needed to justify the initial capital investment against the long-term operational savings and grid service revenue generated. Future research efforts are concentrated on developing cheaper, safer, and higher-density flow battery chemistries and integrating these improvements directly into next-generation, high-efficiency HESS architectures to facilitate a smoother transition to a fully decarbonized power sector.</w:t>
      </w:r>
    </w:p>
    <w:p w14:paraId="114AE0B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7642E4"/>
    <w:rsid w:val="3076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2025-10-14T09:30:00Z</dcterms:created>
  <dc:creator>Yotor-CEO-DiguwaSoft</dc:creator>
  <cp:lastModifiedBy>Yotor-CEO-DiguwaSoft</cp:lastModifiedBy>
  <dcterms:modified xsi:type="dcterms:W3CDTF">2025-10-14T09:34:01Z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17878F40BA8B42A2A2F9E25DB4BAD8FE_11</vt:lpwstr>
  </property>
</Properties>
</file>