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66753"/>
          <w:sz w:val="60"/>
        </w:rPr>
        <w:t>GoalWise</w:t>
      </w:r>
    </w:p>
    <w:p>
      <w:pPr>
        <w:jc w:val="center"/>
      </w:pPr>
      <w:r>
        <w:rPr>
          <w:b/>
          <w:color w:val="1F3F50"/>
          <w:sz w:val="40"/>
        </w:rPr>
        <w:t>Software Quality Assurance Plan (SQAP)</w:t>
        <w:br/>
        <w:t>and Software Testing Plan (STP)</w:t>
      </w:r>
    </w:p>
    <w:p>
      <w:pPr>
        <w:spacing w:before="360"/>
        <w:jc w:val="center"/>
      </w:pPr>
      <w:r>
        <w:rPr>
          <w:i/>
          <w:sz w:val="24"/>
        </w:rPr>
        <w:t>Goal-Oriented Budgeting and Weekly Spending Pace</w:t>
      </w:r>
    </w:p>
    <w:tbl>
      <w:tblPr>
        <w:tblW w:type="auto" w:w="0"/>
        <w:jc w:val="center"/>
        <w:tblLayout w:type="fixed"/>
        <w:tblLook w:firstColumn="1" w:firstRow="1" w:lastColumn="0" w:lastRow="0" w:noHBand="0" w:noVBand="1" w:val="04A0"/>
      </w:tblPr>
      <w:tblGrid>
        <w:gridCol w:w="4968"/>
        <w:gridCol w:w="4968"/>
      </w:tblGrid>
      <w:tr>
        <w:tc>
          <w:tcPr>
            <w:tcW w:type="dxa" w:w="2016"/>
            <w:shd w:fill="EAF4F1"/>
            <w:tcMar>
              <w:top w:w="120" w:type="dxa"/>
              <w:start w:w="120" w:type="dxa"/>
              <w:bottom w:w="120" w:type="dxa"/>
              <w:end w:w="120" w:type="dxa"/>
            </w:tcMar>
          </w:tcPr>
          <w:p>
            <w:r>
              <w:rPr>
                <w:b/>
                <w:color w:val="166753"/>
              </w:rPr>
              <w:t>Course</w:t>
            </w:r>
          </w:p>
        </w:tc>
        <w:tc>
          <w:tcPr>
            <w:tcW w:type="dxa" w:w="5328"/>
            <w:tcMar>
              <w:top w:w="120" w:type="dxa"/>
              <w:start w:w="120" w:type="dxa"/>
              <w:bottom w:w="120" w:type="dxa"/>
              <w:end w:w="120" w:type="dxa"/>
            </w:tcMar>
          </w:tcPr>
          <w:p>
            <w:r>
              <w:t>MSCS 2101 - Software Engineering</w:t>
            </w:r>
          </w:p>
        </w:tc>
      </w:tr>
      <w:tr>
        <w:tc>
          <w:tcPr>
            <w:tcW w:type="dxa" w:w="2016"/>
            <w:shd w:fill="EAF4F1"/>
            <w:tcMar>
              <w:top w:w="120" w:type="dxa"/>
              <w:start w:w="120" w:type="dxa"/>
              <w:bottom w:w="120" w:type="dxa"/>
              <w:end w:w="120" w:type="dxa"/>
            </w:tcMar>
          </w:tcPr>
          <w:p>
            <w:r>
              <w:rPr>
                <w:b/>
                <w:color w:val="166753"/>
              </w:rPr>
              <w:t>Team</w:t>
            </w:r>
          </w:p>
        </w:tc>
        <w:tc>
          <w:tcPr>
            <w:tcW w:type="dxa" w:w="5328"/>
            <w:tcMar>
              <w:top w:w="120" w:type="dxa"/>
              <w:start w:w="120" w:type="dxa"/>
              <w:bottom w:w="120" w:type="dxa"/>
              <w:end w:w="120" w:type="dxa"/>
            </w:tcMar>
          </w:tcPr>
          <w:p>
            <w:r>
              <w:t>Group 3</w:t>
            </w:r>
          </w:p>
        </w:tc>
      </w:tr>
      <w:tr>
        <w:tc>
          <w:tcPr>
            <w:tcW w:type="dxa" w:w="2016"/>
            <w:shd w:fill="EAF4F1"/>
            <w:tcMar>
              <w:top w:w="120" w:type="dxa"/>
              <w:start w:w="120" w:type="dxa"/>
              <w:bottom w:w="120" w:type="dxa"/>
              <w:end w:w="120" w:type="dxa"/>
            </w:tcMar>
          </w:tcPr>
          <w:p>
            <w:r>
              <w:rPr>
                <w:b/>
                <w:color w:val="166753"/>
              </w:rPr>
              <w:t>Version</w:t>
            </w:r>
          </w:p>
        </w:tc>
        <w:tc>
          <w:tcPr>
            <w:tcW w:type="dxa" w:w="5328"/>
            <w:tcMar>
              <w:top w:w="120" w:type="dxa"/>
              <w:start w:w="120" w:type="dxa"/>
              <w:bottom w:w="120" w:type="dxa"/>
              <w:end w:w="120" w:type="dxa"/>
            </w:tcMar>
          </w:tcPr>
          <w:p>
            <w:r>
              <w:t>1.0</w:t>
            </w:r>
          </w:p>
        </w:tc>
      </w:tr>
      <w:tr>
        <w:tc>
          <w:tcPr>
            <w:tcW w:type="dxa" w:w="2016"/>
            <w:shd w:fill="EAF4F1"/>
            <w:tcMar>
              <w:top w:w="120" w:type="dxa"/>
              <w:start w:w="120" w:type="dxa"/>
              <w:bottom w:w="120" w:type="dxa"/>
              <w:end w:w="120" w:type="dxa"/>
            </w:tcMar>
          </w:tcPr>
          <w:p>
            <w:r>
              <w:rPr>
                <w:b/>
                <w:color w:val="166753"/>
              </w:rPr>
              <w:t>Date</w:t>
            </w:r>
          </w:p>
        </w:tc>
        <w:tc>
          <w:tcPr>
            <w:tcW w:type="dxa" w:w="5328"/>
            <w:tcMar>
              <w:top w:w="120" w:type="dxa"/>
              <w:start w:w="120" w:type="dxa"/>
              <w:bottom w:w="120" w:type="dxa"/>
              <w:end w:w="120" w:type="dxa"/>
            </w:tcMar>
          </w:tcPr>
          <w:p>
            <w:r>
              <w:t>August 2026</w:t>
            </w:r>
          </w:p>
        </w:tc>
      </w:tr>
    </w:tbl>
    <w:p>
      <w:r>
        <w:br w:type="page"/>
      </w:r>
    </w:p>
    <w:p>
      <w:pPr>
        <w:pStyle w:val="Heading1"/>
        <w:keepNext/>
      </w:pPr>
      <w:r>
        <w:t>Document Scope</w:t>
      </w:r>
    </w:p>
    <w:p>
      <w:r>
        <w:t>This document combines the Software Quality Assurance Plan and the Software Testing Plan required for the GoalWise project. It follows the structure of IEEE Std 730-1998 and expands Section 7 into a project-specific testing plan. The GoalWise SRS Version 2.0 is the normative baseline for testing. Where the older SPMP and the SRS differ, SRS Version 2.0 controls the MVP scope.</w:t>
      </w:r>
    </w:p>
    <w:p>
      <w:pPr>
        <w:pStyle w:val="Heading1"/>
        <w:keepNext/>
      </w:pPr>
      <w:r>
        <w:t>1. Purpose</w:t>
      </w:r>
    </w:p>
    <w:p>
      <w:r>
        <w:t>This Software Quality Assurance Plan (SQAP) and Software Testing Plan (STP) define how Group 3 will verify and validate the GoalWise MVP. GoalWise is a responsive budgeting web application that allows a user to pursue one active savings goal using a deterministic weekly safe-to-spend calculation. The official financial result is calculated by the backend using the pace-v1 algorithm. AI is not permitted to calculate, modify, or override official financial results.</w:t>
      </w:r>
    </w:p>
    <w:p>
      <w:r>
        <w:t>The objectives of this plan are to:</w:t>
      </w:r>
    </w:p>
    <w:p>
      <w:pPr>
        <w:pStyle w:val="ListBullet"/>
      </w:pPr>
      <w:r>
        <w:t>Verify that the implementation conforms to the GoalWise SRS Version 2.0.</w:t>
      </w:r>
    </w:p>
    <w:p>
      <w:pPr>
        <w:pStyle w:val="ListBullet"/>
      </w:pPr>
      <w:r>
        <w:t>Validate that the product is usable and fit for its intended purpose.</w:t>
      </w:r>
    </w:p>
    <w:p>
      <w:pPr>
        <w:pStyle w:val="ListBullet"/>
      </w:pPr>
      <w:r>
        <w:t>Ensure that every Must requirement has test evidence before release.</w:t>
      </w:r>
    </w:p>
    <w:p>
      <w:pPr>
        <w:pStyle w:val="ListBullet"/>
      </w:pPr>
      <w:r>
        <w:t>Detect functional, security, reliability, performance, accessibility, and usability defects before deployment.</w:t>
      </w:r>
    </w:p>
    <w:p>
      <w:pPr>
        <w:pStyle w:val="ListBullet"/>
      </w:pPr>
      <w:r>
        <w:t>Establish a repeatable process for reporting, prioritizing, correcting, and retesting defects.</w:t>
      </w:r>
    </w:p>
    <w:p>
      <w:pPr>
        <w:pStyle w:val="ListBullet"/>
      </w:pPr>
      <w:r>
        <w:t>Prevent AI-generated code or AI-generated tests from being accepted without independent human verification.</w:t>
      </w:r>
    </w:p>
    <w:p>
      <w:pPr>
        <w:pStyle w:val="ListBullet"/>
      </w:pPr>
      <w:r>
        <w:t>Minimize defects in Alpha, Beta, and final release candidates.</w:t>
      </w:r>
    </w:p>
    <w:p>
      <w:r>
        <w:t>The GoalWise SRS Version 2.0 is the normative requirements baseline. CSV transaction import and runtime AI explanations are excluded from MVP acceptance. The MVP instead uses manual financial inputs and provides a static AI Future guardrail page.</w:t>
      </w:r>
    </w:p>
    <w:p>
      <w:pPr>
        <w:pStyle w:val="Heading1"/>
        <w:keepNext/>
      </w:pPr>
      <w:r>
        <w:t>2. Reference Documents</w:t>
      </w:r>
    </w:p>
    <w:p>
      <w:pPr>
        <w:ind w:left="403" w:hanging="317"/>
      </w:pPr>
      <w:r>
        <w:rPr>
          <w:b w:val="0"/>
        </w:rPr>
        <w:t xml:space="preserve">1. </w:t>
      </w:r>
      <w:r>
        <w:t>GoalWise Software Requirements Specification (SRS), Version 2.0.</w:t>
      </w:r>
    </w:p>
    <w:p>
      <w:pPr>
        <w:ind w:left="403" w:hanging="317"/>
      </w:pPr>
      <w:r>
        <w:rPr>
          <w:b w:val="0"/>
        </w:rPr>
        <w:t xml:space="preserve">2. </w:t>
      </w:r>
      <w:r>
        <w:t>GoalWise Software Project Management Plan (SPMP), Version 1.0.</w:t>
      </w:r>
    </w:p>
    <w:p>
      <w:pPr>
        <w:ind w:left="403" w:hanging="317"/>
      </w:pPr>
      <w:r>
        <w:rPr>
          <w:b w:val="0"/>
        </w:rPr>
        <w:t xml:space="preserve">3. </w:t>
      </w:r>
      <w:r>
        <w:t>GoalWise Software Design Description (SDD).</w:t>
      </w:r>
    </w:p>
    <w:p>
      <w:pPr>
        <w:ind w:left="403" w:hanging="317"/>
      </w:pPr>
      <w:r>
        <w:rPr>
          <w:b w:val="0"/>
        </w:rPr>
        <w:t xml:space="preserve">4. </w:t>
      </w:r>
      <w:r>
        <w:t>IEEE Std 730-1998, Software Quality Assurance Plans.</w:t>
      </w:r>
    </w:p>
    <w:p>
      <w:pPr>
        <w:ind w:left="403" w:hanging="317"/>
      </w:pPr>
      <w:r>
        <w:rPr>
          <w:b w:val="0"/>
        </w:rPr>
        <w:t xml:space="preserve">5. </w:t>
      </w:r>
      <w:r>
        <w:t>OWASP Application Security Verification Standard (ASVS).</w:t>
      </w:r>
    </w:p>
    <w:p>
      <w:pPr>
        <w:ind w:left="403" w:hanging="317"/>
      </w:pPr>
      <w:r>
        <w:rPr>
          <w:b w:val="0"/>
        </w:rPr>
        <w:t xml:space="preserve">6. </w:t>
      </w:r>
      <w:r>
        <w:t>NIST Secure Software Development Framework (SSDF).</w:t>
      </w:r>
    </w:p>
    <w:p>
      <w:pPr>
        <w:ind w:left="403" w:hanging="317"/>
      </w:pPr>
      <w:r>
        <w:rPr>
          <w:b w:val="0"/>
        </w:rPr>
        <w:t xml:space="preserve">7. </w:t>
      </w:r>
      <w:r>
        <w:t>WCAG 2.2 Level AA.</w:t>
      </w:r>
    </w:p>
    <w:p>
      <w:pPr>
        <w:ind w:left="403" w:hanging="317"/>
      </w:pPr>
      <w:r>
        <w:rPr>
          <w:b w:val="0"/>
        </w:rPr>
        <w:t xml:space="preserve">8. </w:t>
      </w:r>
      <w:r>
        <w:t>GoalWise architecture decision records.</w:t>
      </w:r>
    </w:p>
    <w:p>
      <w:pPr>
        <w:ind w:left="403" w:hanging="317"/>
      </w:pPr>
      <w:r>
        <w:rPr>
          <w:b w:val="0"/>
        </w:rPr>
        <w:t xml:space="preserve">9. </w:t>
      </w:r>
      <w:r>
        <w:t>GoalWise test cases, test reports, and requirements traceability matrix.</w:t>
      </w:r>
    </w:p>
    <w:p>
      <w:r>
        <w:t>Where the SPMP and SRS differ, SRS Version 2.0 controls the implementation and testing baseline.</w:t>
      </w:r>
    </w:p>
    <w:p>
      <w:pPr>
        <w:pStyle w:val="Heading1"/>
        <w:keepNext/>
      </w:pPr>
      <w:r>
        <w:t>3. Management</w:t>
      </w:r>
    </w:p>
    <w:p>
      <w:pPr>
        <w:pStyle w:val="Heading2"/>
        <w:keepNext/>
      </w:pPr>
      <w:r>
        <w:t>3.1 Organization</w:t>
      </w:r>
    </w:p>
    <w:p>
      <w:r>
        <w:t>Quality assurance is integrated into the four-person GoalWise development team rather than being a separate organization.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1872"/>
            <w:shd w:fill="166753"/>
            <w:vAlign w:val="center"/>
            <w:tcMar>
              <w:top w:w="110" w:type="dxa"/>
              <w:start w:w="100" w:type="dxa"/>
              <w:bottom w:w="110" w:type="dxa"/>
              <w:end w:w="100" w:type="dxa"/>
            </w:tcMar>
          </w:tcPr>
          <w:p>
            <w:pPr>
              <w:pStyle w:val="TableText"/>
              <w:jc w:val="center"/>
            </w:pPr>
            <w:r>
              <w:rPr>
                <w:b/>
                <w:color w:val="FFFFFF"/>
              </w:rPr>
              <w:t>Team Member</w:t>
            </w:r>
          </w:p>
        </w:tc>
        <w:tc>
          <w:tcPr>
            <w:tcW w:type="dxa" w:w="7344"/>
            <w:shd w:fill="166753"/>
            <w:vAlign w:val="center"/>
            <w:tcMar>
              <w:top w:w="110" w:type="dxa"/>
              <w:start w:w="100" w:type="dxa"/>
              <w:bottom w:w="110" w:type="dxa"/>
              <w:end w:w="100" w:type="dxa"/>
            </w:tcMar>
          </w:tcPr>
          <w:p>
            <w:pPr>
              <w:pStyle w:val="TableText"/>
              <w:jc w:val="center"/>
            </w:pPr>
            <w:r>
              <w:rPr>
                <w:b/>
                <w:color w:val="FFFFFF"/>
              </w:rPr>
              <w:t>Quality Responsibility</w:t>
            </w:r>
          </w:p>
        </w:tc>
      </w:tr>
      <w:tr>
        <w:tc>
          <w:tcPr>
            <w:tcW w:type="dxa" w:w="1872"/>
            <w:vAlign w:val="center"/>
            <w:tcMar>
              <w:top w:w="100" w:type="dxa"/>
              <w:start w:w="100" w:type="dxa"/>
              <w:bottom w:w="100" w:type="dxa"/>
              <w:end w:w="100" w:type="dxa"/>
            </w:tcMar>
          </w:tcPr>
          <w:p>
            <w:pPr>
              <w:pStyle w:val="TableText"/>
            </w:pPr>
            <w:r>
              <w:t>Vishal</w:t>
            </w:r>
          </w:p>
        </w:tc>
        <w:tc>
          <w:tcPr>
            <w:tcW w:type="dxa" w:w="7344"/>
            <w:vAlign w:val="center"/>
            <w:tcMar>
              <w:top w:w="100" w:type="dxa"/>
              <w:start w:w="100" w:type="dxa"/>
              <w:bottom w:w="100" w:type="dxa"/>
              <w:end w:w="100" w:type="dxa"/>
            </w:tcMar>
          </w:tcPr>
          <w:p>
            <w:pPr>
              <w:pStyle w:val="TableText"/>
            </w:pPr>
            <w:r>
              <w:t>Project management, schedule, backlog, change approval, release readiness</w:t>
            </w:r>
          </w:p>
        </w:tc>
      </w:tr>
      <w:tr>
        <w:tc>
          <w:tcPr>
            <w:tcW w:type="dxa" w:w="1872"/>
            <w:vAlign w:val="center"/>
            <w:tcMar>
              <w:top w:w="100" w:type="dxa"/>
              <w:start w:w="100" w:type="dxa"/>
              <w:bottom w:w="100" w:type="dxa"/>
              <w:end w:w="100" w:type="dxa"/>
            </w:tcMar>
          </w:tcPr>
          <w:p>
            <w:pPr>
              <w:pStyle w:val="TableText"/>
            </w:pPr>
            <w:r>
              <w:t>Nati</w:t>
            </w:r>
          </w:p>
        </w:tc>
        <w:tc>
          <w:tcPr>
            <w:tcW w:type="dxa" w:w="7344"/>
            <w:vAlign w:val="center"/>
            <w:tcMar>
              <w:top w:w="100" w:type="dxa"/>
              <w:start w:w="100" w:type="dxa"/>
              <w:bottom w:w="100" w:type="dxa"/>
              <w:end w:w="100" w:type="dxa"/>
            </w:tcMar>
          </w:tcPr>
          <w:p>
            <w:pPr>
              <w:pStyle w:val="TableText"/>
            </w:pPr>
            <w:r>
              <w:t>Backend, APIs, pace-v1 engine, database, technical verification</w:t>
            </w:r>
          </w:p>
        </w:tc>
      </w:tr>
      <w:tr>
        <w:tc>
          <w:tcPr>
            <w:tcW w:type="dxa" w:w="1872"/>
            <w:vAlign w:val="center"/>
            <w:tcMar>
              <w:top w:w="100" w:type="dxa"/>
              <w:start w:w="100" w:type="dxa"/>
              <w:bottom w:w="100" w:type="dxa"/>
              <w:end w:w="100" w:type="dxa"/>
            </w:tcMar>
          </w:tcPr>
          <w:p>
            <w:pPr>
              <w:pStyle w:val="TableText"/>
            </w:pPr>
            <w:r>
              <w:t>Ashutosh</w:t>
            </w:r>
          </w:p>
        </w:tc>
        <w:tc>
          <w:tcPr>
            <w:tcW w:type="dxa" w:w="7344"/>
            <w:vAlign w:val="center"/>
            <w:tcMar>
              <w:top w:w="100" w:type="dxa"/>
              <w:start w:w="100" w:type="dxa"/>
              <w:bottom w:w="100" w:type="dxa"/>
              <w:end w:w="100" w:type="dxa"/>
            </w:tcMar>
          </w:tcPr>
          <w:p>
            <w:pPr>
              <w:pStyle w:val="TableText"/>
            </w:pPr>
            <w:r>
              <w:t>Frontend, UI/UX, usability and accessibility</w:t>
            </w:r>
          </w:p>
        </w:tc>
      </w:tr>
      <w:tr>
        <w:tc>
          <w:tcPr>
            <w:tcW w:type="dxa" w:w="1872"/>
            <w:vAlign w:val="center"/>
            <w:tcMar>
              <w:top w:w="100" w:type="dxa"/>
              <w:start w:w="100" w:type="dxa"/>
              <w:bottom w:w="100" w:type="dxa"/>
              <w:end w:w="100" w:type="dxa"/>
            </w:tcMar>
          </w:tcPr>
          <w:p>
            <w:pPr>
              <w:pStyle w:val="TableText"/>
            </w:pPr>
            <w:r>
              <w:t>Thanh</w:t>
            </w:r>
          </w:p>
        </w:tc>
        <w:tc>
          <w:tcPr>
            <w:tcW w:type="dxa" w:w="7344"/>
            <w:vAlign w:val="center"/>
            <w:tcMar>
              <w:top w:w="100" w:type="dxa"/>
              <w:start w:w="100" w:type="dxa"/>
              <w:bottom w:w="100" w:type="dxa"/>
              <w:end w:w="100" w:type="dxa"/>
            </w:tcMar>
          </w:tcPr>
          <w:p>
            <w:pPr>
              <w:pStyle w:val="TableText"/>
            </w:pPr>
            <w:r>
              <w:t>QA lead, testing, defect tracking, documentation, traceability</w:t>
            </w:r>
          </w:p>
        </w:tc>
      </w:tr>
    </w:tbl>
    <w:p>
      <w:pPr>
        <w:spacing w:after="20"/>
      </w:pPr>
    </w:p>
    <w:p>
      <w:r>
        <w:t>Thanh serves as the primary QA and documentation owner. Developers are responsible for unit and integration testing of the code they implement, but a developer shall not be the sole approver of their own change.</w:t>
      </w:r>
    </w:p>
    <w:p>
      <w:pPr>
        <w:pStyle w:val="Heading2"/>
        <w:keepNext/>
      </w:pPr>
      <w:r>
        <w:t>3.2 Quality Responsibilities</w:t>
      </w:r>
    </w:p>
    <w:p>
      <w:r>
        <w:t>The QA lead will:</w:t>
      </w:r>
    </w:p>
    <w:p>
      <w:pPr>
        <w:pStyle w:val="ListBullet"/>
      </w:pPr>
      <w:r>
        <w:t>Maintain the test plan and test evidence.</w:t>
      </w:r>
    </w:p>
    <w:p>
      <w:pPr>
        <w:pStyle w:val="ListBullet"/>
      </w:pPr>
      <w:r>
        <w:t>Maintain requirement-to-test traceability.</w:t>
      </w:r>
    </w:p>
    <w:p>
      <w:pPr>
        <w:pStyle w:val="ListBullet"/>
      </w:pPr>
      <w:r>
        <w:t>Review CI results and coverage.</w:t>
      </w:r>
    </w:p>
    <w:p>
      <w:pPr>
        <w:pStyle w:val="ListBullet"/>
      </w:pPr>
      <w:r>
        <w:t>Coordinate system, regression, security, accessibility, and acceptance testing.</w:t>
      </w:r>
    </w:p>
    <w:p>
      <w:pPr>
        <w:pStyle w:val="ListBullet"/>
      </w:pPr>
      <w:r>
        <w:t>Log and classify defects.</w:t>
      </w:r>
    </w:p>
    <w:p>
      <w:pPr>
        <w:pStyle w:val="ListBullet"/>
      </w:pPr>
      <w:r>
        <w:t>Verify corrective actions before closure.</w:t>
      </w:r>
    </w:p>
    <w:p>
      <w:pPr>
        <w:pStyle w:val="ListBullet"/>
      </w:pPr>
      <w:r>
        <w:t>Confirm release quality gates.</w:t>
      </w:r>
    </w:p>
    <w:p>
      <w:r>
        <w:t>The Project Manager will make release decisions with the team. Final academic acceptance is performed by the course instructor.</w:t>
      </w:r>
    </w:p>
    <w:p>
      <w:pPr>
        <w:pStyle w:val="Heading2"/>
        <w:keepNext/>
      </w:pPr>
      <w:r>
        <w:t>3.3 Quality Objectives</w:t>
      </w:r>
    </w:p>
    <w:p>
      <w:pPr>
        <w:pStyle w:val="ListBullet"/>
      </w:pPr>
      <w:r>
        <w:t>100% of approved pace-v1 golden tests pass.</w:t>
      </w:r>
    </w:p>
    <w:p>
      <w:pPr>
        <w:pStyle w:val="ListBullet"/>
      </w:pPr>
      <w:r>
        <w:t>At least 90% branch coverage for the pace engine.</w:t>
      </w:r>
    </w:p>
    <w:p>
      <w:pPr>
        <w:pStyle w:val="ListBullet"/>
      </w:pPr>
      <w:r>
        <w:t>At least 75% backend line coverage.</w:t>
      </w:r>
    </w:p>
    <w:p>
      <w:pPr>
        <w:pStyle w:val="ListBullet"/>
      </w:pPr>
      <w:r>
        <w:t>All Must requirements have passing verification evidence.</w:t>
      </w:r>
    </w:p>
    <w:p>
      <w:pPr>
        <w:pStyle w:val="ListBullet"/>
      </w:pPr>
      <w:r>
        <w:t>No unresolved Critical or High security findings exist at release.</w:t>
      </w:r>
    </w:p>
    <w:p>
      <w:pPr>
        <w:pStyle w:val="ListBullet"/>
      </w:pPr>
      <w:r>
        <w:t>All core workflows remain functional without any AI service dependency.</w:t>
      </w:r>
    </w:p>
    <w:p>
      <w:pPr>
        <w:pStyle w:val="ListBullet"/>
      </w:pPr>
      <w:r>
        <w:t>No release-blocking accessibility, reliability, or data-isolation defects remain.</w:t>
      </w:r>
    </w:p>
    <w:p>
      <w:pPr>
        <w:pStyle w:val="Heading1"/>
        <w:keepNext/>
      </w:pPr>
      <w:r>
        <w:t>4. Documentation</w:t>
      </w:r>
    </w:p>
    <w:p>
      <w:r>
        <w:t>The project will maintain the following controlled documents: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880"/>
            <w:shd w:fill="166753"/>
            <w:vAlign w:val="center"/>
            <w:tcMar>
              <w:top w:w="110" w:type="dxa"/>
              <w:start w:w="100" w:type="dxa"/>
              <w:bottom w:w="110" w:type="dxa"/>
              <w:end w:w="100" w:type="dxa"/>
            </w:tcMar>
          </w:tcPr>
          <w:p>
            <w:pPr>
              <w:pStyle w:val="TableText"/>
              <w:jc w:val="center"/>
            </w:pPr>
            <w:r>
              <w:rPr>
                <w:b/>
                <w:color w:val="FFFFFF"/>
              </w:rPr>
              <w:t>Document</w:t>
            </w:r>
          </w:p>
        </w:tc>
        <w:tc>
          <w:tcPr>
            <w:tcW w:type="dxa" w:w="1584"/>
            <w:shd w:fill="166753"/>
            <w:vAlign w:val="center"/>
            <w:tcMar>
              <w:top w:w="110" w:type="dxa"/>
              <w:start w:w="100" w:type="dxa"/>
              <w:bottom w:w="110" w:type="dxa"/>
              <w:end w:w="100" w:type="dxa"/>
            </w:tcMar>
          </w:tcPr>
          <w:p>
            <w:pPr>
              <w:pStyle w:val="TableText"/>
              <w:jc w:val="center"/>
            </w:pPr>
            <w:r>
              <w:rPr>
                <w:b/>
                <w:color w:val="FFFFFF"/>
              </w:rPr>
              <w:t>Owner</w:t>
            </w:r>
          </w:p>
        </w:tc>
        <w:tc>
          <w:tcPr>
            <w:tcW w:type="dxa" w:w="4752"/>
            <w:shd w:fill="166753"/>
            <w:vAlign w:val="center"/>
            <w:tcMar>
              <w:top w:w="110" w:type="dxa"/>
              <w:start w:w="100" w:type="dxa"/>
              <w:bottom w:w="110" w:type="dxa"/>
              <w:end w:w="100" w:type="dxa"/>
            </w:tcMar>
          </w:tcPr>
          <w:p>
            <w:pPr>
              <w:pStyle w:val="TableText"/>
              <w:jc w:val="center"/>
            </w:pPr>
            <w:r>
              <w:rPr>
                <w:b/>
                <w:color w:val="FFFFFF"/>
              </w:rPr>
              <w:t>Purpose</w:t>
            </w:r>
          </w:p>
        </w:tc>
      </w:tr>
      <w:tr>
        <w:tc>
          <w:tcPr>
            <w:tcW w:type="dxa" w:w="2880"/>
            <w:vAlign w:val="center"/>
            <w:tcMar>
              <w:top w:w="100" w:type="dxa"/>
              <w:start w:w="100" w:type="dxa"/>
              <w:bottom w:w="100" w:type="dxa"/>
              <w:end w:w="100" w:type="dxa"/>
            </w:tcMar>
          </w:tcPr>
          <w:p>
            <w:pPr>
              <w:pStyle w:val="TableText"/>
            </w:pPr>
            <w:r>
              <w:t>SRS v2.0</w:t>
            </w:r>
          </w:p>
        </w:tc>
        <w:tc>
          <w:tcPr>
            <w:tcW w:type="dxa" w:w="1584"/>
            <w:vAlign w:val="center"/>
            <w:tcMar>
              <w:top w:w="100" w:type="dxa"/>
              <w:start w:w="100" w:type="dxa"/>
              <w:bottom w:w="100" w:type="dxa"/>
              <w:end w:w="100" w:type="dxa"/>
            </w:tcMar>
          </w:tcPr>
          <w:p>
            <w:pPr>
              <w:pStyle w:val="TableText"/>
            </w:pPr>
            <w:r>
              <w:t>Thanh</w:t>
            </w:r>
          </w:p>
        </w:tc>
        <w:tc>
          <w:tcPr>
            <w:tcW w:type="dxa" w:w="4752"/>
            <w:vAlign w:val="center"/>
            <w:tcMar>
              <w:top w:w="100" w:type="dxa"/>
              <w:start w:w="100" w:type="dxa"/>
              <w:bottom w:w="100" w:type="dxa"/>
              <w:end w:w="100" w:type="dxa"/>
            </w:tcMar>
          </w:tcPr>
          <w:p>
            <w:pPr>
              <w:pStyle w:val="TableText"/>
            </w:pPr>
            <w:r>
              <w:t>Normative product requirements</w:t>
            </w:r>
          </w:p>
        </w:tc>
      </w:tr>
      <w:tr>
        <w:tc>
          <w:tcPr>
            <w:tcW w:type="dxa" w:w="2880"/>
            <w:vAlign w:val="center"/>
            <w:tcMar>
              <w:top w:w="100" w:type="dxa"/>
              <w:start w:w="100" w:type="dxa"/>
              <w:bottom w:w="100" w:type="dxa"/>
              <w:end w:w="100" w:type="dxa"/>
            </w:tcMar>
          </w:tcPr>
          <w:p>
            <w:pPr>
              <w:pStyle w:val="TableText"/>
            </w:pPr>
            <w:r>
              <w:t>SPMP</w:t>
            </w:r>
          </w:p>
        </w:tc>
        <w:tc>
          <w:tcPr>
            <w:tcW w:type="dxa" w:w="1584"/>
            <w:vAlign w:val="center"/>
            <w:tcMar>
              <w:top w:w="100" w:type="dxa"/>
              <w:start w:w="100" w:type="dxa"/>
              <w:bottom w:w="100" w:type="dxa"/>
              <w:end w:w="100" w:type="dxa"/>
            </w:tcMar>
          </w:tcPr>
          <w:p>
            <w:pPr>
              <w:pStyle w:val="TableText"/>
            </w:pPr>
            <w:r>
              <w:t>Vishal</w:t>
            </w:r>
          </w:p>
        </w:tc>
        <w:tc>
          <w:tcPr>
            <w:tcW w:type="dxa" w:w="4752"/>
            <w:vAlign w:val="center"/>
            <w:tcMar>
              <w:top w:w="100" w:type="dxa"/>
              <w:start w:w="100" w:type="dxa"/>
              <w:bottom w:w="100" w:type="dxa"/>
              <w:end w:w="100" w:type="dxa"/>
            </w:tcMar>
          </w:tcPr>
          <w:p>
            <w:pPr>
              <w:pStyle w:val="TableText"/>
            </w:pPr>
            <w:r>
              <w:t>Schedule, responsibilities, risks and project controls</w:t>
            </w:r>
          </w:p>
        </w:tc>
      </w:tr>
      <w:tr>
        <w:tc>
          <w:tcPr>
            <w:tcW w:type="dxa" w:w="2880"/>
            <w:vAlign w:val="center"/>
            <w:tcMar>
              <w:top w:w="100" w:type="dxa"/>
              <w:start w:w="100" w:type="dxa"/>
              <w:bottom w:w="100" w:type="dxa"/>
              <w:end w:w="100" w:type="dxa"/>
            </w:tcMar>
          </w:tcPr>
          <w:p>
            <w:pPr>
              <w:pStyle w:val="TableText"/>
            </w:pPr>
            <w:r>
              <w:t>SDD</w:t>
            </w:r>
          </w:p>
        </w:tc>
        <w:tc>
          <w:tcPr>
            <w:tcW w:type="dxa" w:w="1584"/>
            <w:vAlign w:val="center"/>
            <w:tcMar>
              <w:top w:w="100" w:type="dxa"/>
              <w:start w:w="100" w:type="dxa"/>
              <w:bottom w:w="100" w:type="dxa"/>
              <w:end w:w="100" w:type="dxa"/>
            </w:tcMar>
          </w:tcPr>
          <w:p>
            <w:pPr>
              <w:pStyle w:val="TableText"/>
            </w:pPr>
            <w:r>
              <w:t>Nati</w:t>
            </w:r>
          </w:p>
        </w:tc>
        <w:tc>
          <w:tcPr>
            <w:tcW w:type="dxa" w:w="4752"/>
            <w:vAlign w:val="center"/>
            <w:tcMar>
              <w:top w:w="100" w:type="dxa"/>
              <w:start w:w="100" w:type="dxa"/>
              <w:bottom w:w="100" w:type="dxa"/>
              <w:end w:w="100" w:type="dxa"/>
            </w:tcMar>
          </w:tcPr>
          <w:p>
            <w:pPr>
              <w:pStyle w:val="TableText"/>
            </w:pPr>
            <w:r>
              <w:t>Architecture and detailed design</w:t>
            </w:r>
          </w:p>
        </w:tc>
      </w:tr>
      <w:tr>
        <w:tc>
          <w:tcPr>
            <w:tcW w:type="dxa" w:w="2880"/>
            <w:vAlign w:val="center"/>
            <w:tcMar>
              <w:top w:w="100" w:type="dxa"/>
              <w:start w:w="100" w:type="dxa"/>
              <w:bottom w:w="100" w:type="dxa"/>
              <w:end w:w="100" w:type="dxa"/>
            </w:tcMar>
          </w:tcPr>
          <w:p>
            <w:pPr>
              <w:pStyle w:val="TableText"/>
            </w:pPr>
            <w:r>
              <w:t>SQAP/STP</w:t>
            </w:r>
          </w:p>
        </w:tc>
        <w:tc>
          <w:tcPr>
            <w:tcW w:type="dxa" w:w="1584"/>
            <w:vAlign w:val="center"/>
            <w:tcMar>
              <w:top w:w="100" w:type="dxa"/>
              <w:start w:w="100" w:type="dxa"/>
              <w:bottom w:w="100" w:type="dxa"/>
              <w:end w:w="100" w:type="dxa"/>
            </w:tcMar>
          </w:tcPr>
          <w:p>
            <w:pPr>
              <w:pStyle w:val="TableText"/>
            </w:pPr>
            <w:r>
              <w:t>Thanh</w:t>
            </w:r>
          </w:p>
        </w:tc>
        <w:tc>
          <w:tcPr>
            <w:tcW w:type="dxa" w:w="4752"/>
            <w:vAlign w:val="center"/>
            <w:tcMar>
              <w:top w:w="100" w:type="dxa"/>
              <w:start w:w="100" w:type="dxa"/>
              <w:bottom w:w="100" w:type="dxa"/>
              <w:end w:w="100" w:type="dxa"/>
            </w:tcMar>
          </w:tcPr>
          <w:p>
            <w:pPr>
              <w:pStyle w:val="TableText"/>
            </w:pPr>
            <w:r>
              <w:t>Quality and testing strategy</w:t>
            </w:r>
          </w:p>
        </w:tc>
      </w:tr>
      <w:tr>
        <w:tc>
          <w:tcPr>
            <w:tcW w:type="dxa" w:w="2880"/>
            <w:vAlign w:val="center"/>
            <w:tcMar>
              <w:top w:w="100" w:type="dxa"/>
              <w:start w:w="100" w:type="dxa"/>
              <w:bottom w:w="100" w:type="dxa"/>
              <w:end w:w="100" w:type="dxa"/>
            </w:tcMar>
          </w:tcPr>
          <w:p>
            <w:pPr>
              <w:pStyle w:val="TableText"/>
            </w:pPr>
            <w:r>
              <w:t>Requirements Traceability Matrix</w:t>
            </w:r>
          </w:p>
        </w:tc>
        <w:tc>
          <w:tcPr>
            <w:tcW w:type="dxa" w:w="1584"/>
            <w:vAlign w:val="center"/>
            <w:tcMar>
              <w:top w:w="100" w:type="dxa"/>
              <w:start w:w="100" w:type="dxa"/>
              <w:bottom w:w="100" w:type="dxa"/>
              <w:end w:w="100" w:type="dxa"/>
            </w:tcMar>
          </w:tcPr>
          <w:p>
            <w:pPr>
              <w:pStyle w:val="TableText"/>
            </w:pPr>
            <w:r>
              <w:t>Thanh</w:t>
            </w:r>
          </w:p>
        </w:tc>
        <w:tc>
          <w:tcPr>
            <w:tcW w:type="dxa" w:w="4752"/>
            <w:vAlign w:val="center"/>
            <w:tcMar>
              <w:top w:w="100" w:type="dxa"/>
              <w:start w:w="100" w:type="dxa"/>
              <w:bottom w:w="100" w:type="dxa"/>
              <w:end w:w="100" w:type="dxa"/>
            </w:tcMar>
          </w:tcPr>
          <w:p>
            <w:pPr>
              <w:pStyle w:val="TableText"/>
            </w:pPr>
            <w:r>
              <w:t>Requirement-to-test mapping</w:t>
            </w:r>
          </w:p>
        </w:tc>
      </w:tr>
      <w:tr>
        <w:tc>
          <w:tcPr>
            <w:tcW w:type="dxa" w:w="2880"/>
            <w:vAlign w:val="center"/>
            <w:tcMar>
              <w:top w:w="100" w:type="dxa"/>
              <w:start w:w="100" w:type="dxa"/>
              <w:bottom w:w="100" w:type="dxa"/>
              <w:end w:w="100" w:type="dxa"/>
            </w:tcMar>
          </w:tcPr>
          <w:p>
            <w:pPr>
              <w:pStyle w:val="TableText"/>
            </w:pPr>
            <w:r>
              <w:t>Test Cases</w:t>
            </w:r>
          </w:p>
        </w:tc>
        <w:tc>
          <w:tcPr>
            <w:tcW w:type="dxa" w:w="1584"/>
            <w:vAlign w:val="center"/>
            <w:tcMar>
              <w:top w:w="100" w:type="dxa"/>
              <w:start w:w="100" w:type="dxa"/>
              <w:bottom w:w="100" w:type="dxa"/>
              <w:end w:w="100" w:type="dxa"/>
            </w:tcMar>
          </w:tcPr>
          <w:p>
            <w:pPr>
              <w:pStyle w:val="TableText"/>
            </w:pPr>
            <w:r>
              <w:t>QA + developers</w:t>
            </w:r>
          </w:p>
        </w:tc>
        <w:tc>
          <w:tcPr>
            <w:tcW w:type="dxa" w:w="4752"/>
            <w:vAlign w:val="center"/>
            <w:tcMar>
              <w:top w:w="100" w:type="dxa"/>
              <w:start w:w="100" w:type="dxa"/>
              <w:bottom w:w="100" w:type="dxa"/>
              <w:end w:w="100" w:type="dxa"/>
            </w:tcMar>
          </w:tcPr>
          <w:p>
            <w:pPr>
              <w:pStyle w:val="TableText"/>
            </w:pPr>
            <w:r>
              <w:t>Repeatable verification procedures</w:t>
            </w:r>
          </w:p>
        </w:tc>
      </w:tr>
      <w:tr>
        <w:tc>
          <w:tcPr>
            <w:tcW w:type="dxa" w:w="2880"/>
            <w:vAlign w:val="center"/>
            <w:tcMar>
              <w:top w:w="100" w:type="dxa"/>
              <w:start w:w="100" w:type="dxa"/>
              <w:bottom w:w="100" w:type="dxa"/>
              <w:end w:w="100" w:type="dxa"/>
            </w:tcMar>
          </w:tcPr>
          <w:p>
            <w:pPr>
              <w:pStyle w:val="TableText"/>
            </w:pPr>
            <w:r>
              <w:t>Test Report</w:t>
            </w:r>
          </w:p>
        </w:tc>
        <w:tc>
          <w:tcPr>
            <w:tcW w:type="dxa" w:w="1584"/>
            <w:vAlign w:val="center"/>
            <w:tcMar>
              <w:top w:w="100" w:type="dxa"/>
              <w:start w:w="100" w:type="dxa"/>
              <w:bottom w:w="100" w:type="dxa"/>
              <w:end w:w="100" w:type="dxa"/>
            </w:tcMar>
          </w:tcPr>
          <w:p>
            <w:pPr>
              <w:pStyle w:val="TableText"/>
            </w:pPr>
            <w:r>
              <w:t>Thanh</w:t>
            </w:r>
          </w:p>
        </w:tc>
        <w:tc>
          <w:tcPr>
            <w:tcW w:type="dxa" w:w="4752"/>
            <w:vAlign w:val="center"/>
            <w:tcMar>
              <w:top w:w="100" w:type="dxa"/>
              <w:start w:w="100" w:type="dxa"/>
              <w:bottom w:w="100" w:type="dxa"/>
              <w:end w:w="100" w:type="dxa"/>
            </w:tcMar>
          </w:tcPr>
          <w:p>
            <w:pPr>
              <w:pStyle w:val="TableText"/>
            </w:pPr>
            <w:r>
              <w:t>Test execution results</w:t>
            </w:r>
          </w:p>
        </w:tc>
      </w:tr>
      <w:tr>
        <w:tc>
          <w:tcPr>
            <w:tcW w:type="dxa" w:w="2880"/>
            <w:vAlign w:val="center"/>
            <w:tcMar>
              <w:top w:w="100" w:type="dxa"/>
              <w:start w:w="100" w:type="dxa"/>
              <w:bottom w:w="100" w:type="dxa"/>
              <w:end w:w="100" w:type="dxa"/>
            </w:tcMar>
          </w:tcPr>
          <w:p>
            <w:pPr>
              <w:pStyle w:val="TableText"/>
            </w:pPr>
            <w:r>
              <w:t>Defect Log</w:t>
            </w:r>
          </w:p>
        </w:tc>
        <w:tc>
          <w:tcPr>
            <w:tcW w:type="dxa" w:w="1584"/>
            <w:vAlign w:val="center"/>
            <w:tcMar>
              <w:top w:w="100" w:type="dxa"/>
              <w:start w:w="100" w:type="dxa"/>
              <w:bottom w:w="100" w:type="dxa"/>
              <w:end w:w="100" w:type="dxa"/>
            </w:tcMar>
          </w:tcPr>
          <w:p>
            <w:pPr>
              <w:pStyle w:val="TableText"/>
            </w:pPr>
            <w:r>
              <w:t>Thanh</w:t>
            </w:r>
          </w:p>
        </w:tc>
        <w:tc>
          <w:tcPr>
            <w:tcW w:type="dxa" w:w="4752"/>
            <w:vAlign w:val="center"/>
            <w:tcMar>
              <w:top w:w="100" w:type="dxa"/>
              <w:start w:w="100" w:type="dxa"/>
              <w:bottom w:w="100" w:type="dxa"/>
              <w:end w:w="100" w:type="dxa"/>
            </w:tcMar>
          </w:tcPr>
          <w:p>
            <w:pPr>
              <w:pStyle w:val="TableText"/>
            </w:pPr>
            <w:r>
              <w:t>Defect status and corrective action</w:t>
            </w:r>
          </w:p>
        </w:tc>
      </w:tr>
      <w:tr>
        <w:tc>
          <w:tcPr>
            <w:tcW w:type="dxa" w:w="2880"/>
            <w:vAlign w:val="center"/>
            <w:tcMar>
              <w:top w:w="100" w:type="dxa"/>
              <w:start w:w="100" w:type="dxa"/>
              <w:bottom w:w="100" w:type="dxa"/>
              <w:end w:w="100" w:type="dxa"/>
            </w:tcMar>
          </w:tcPr>
          <w:p>
            <w:pPr>
              <w:pStyle w:val="TableText"/>
            </w:pPr>
            <w:r>
              <w:t>User Guide</w:t>
            </w:r>
          </w:p>
        </w:tc>
        <w:tc>
          <w:tcPr>
            <w:tcW w:type="dxa" w:w="1584"/>
            <w:vAlign w:val="center"/>
            <w:tcMar>
              <w:top w:w="100" w:type="dxa"/>
              <w:start w:w="100" w:type="dxa"/>
              <w:bottom w:w="100" w:type="dxa"/>
              <w:end w:w="100" w:type="dxa"/>
            </w:tcMar>
          </w:tcPr>
          <w:p>
            <w:pPr>
              <w:pStyle w:val="TableText"/>
            </w:pPr>
            <w:r>
              <w:t>Ashutosh</w:t>
            </w:r>
          </w:p>
        </w:tc>
        <w:tc>
          <w:tcPr>
            <w:tcW w:type="dxa" w:w="4752"/>
            <w:vAlign w:val="center"/>
            <w:tcMar>
              <w:top w:w="100" w:type="dxa"/>
              <w:start w:w="100" w:type="dxa"/>
              <w:bottom w:w="100" w:type="dxa"/>
              <w:end w:w="100" w:type="dxa"/>
            </w:tcMar>
          </w:tcPr>
          <w:p>
            <w:pPr>
              <w:pStyle w:val="TableText"/>
            </w:pPr>
            <w:r>
              <w:t>End-user instructions</w:t>
            </w:r>
          </w:p>
        </w:tc>
      </w:tr>
      <w:tr>
        <w:tc>
          <w:tcPr>
            <w:tcW w:type="dxa" w:w="2880"/>
            <w:vAlign w:val="center"/>
            <w:tcMar>
              <w:top w:w="100" w:type="dxa"/>
              <w:start w:w="100" w:type="dxa"/>
              <w:bottom w:w="100" w:type="dxa"/>
              <w:end w:w="100" w:type="dxa"/>
            </w:tcMar>
          </w:tcPr>
          <w:p>
            <w:pPr>
              <w:pStyle w:val="TableText"/>
            </w:pPr>
            <w:r>
              <w:t>Deployment Guide</w:t>
            </w:r>
          </w:p>
        </w:tc>
        <w:tc>
          <w:tcPr>
            <w:tcW w:type="dxa" w:w="1584"/>
            <w:vAlign w:val="center"/>
            <w:tcMar>
              <w:top w:w="100" w:type="dxa"/>
              <w:start w:w="100" w:type="dxa"/>
              <w:bottom w:w="100" w:type="dxa"/>
              <w:end w:w="100" w:type="dxa"/>
            </w:tcMar>
          </w:tcPr>
          <w:p>
            <w:pPr>
              <w:pStyle w:val="TableText"/>
            </w:pPr>
            <w:r>
              <w:t>Nati</w:t>
            </w:r>
          </w:p>
        </w:tc>
        <w:tc>
          <w:tcPr>
            <w:tcW w:type="dxa" w:w="4752"/>
            <w:vAlign w:val="center"/>
            <w:tcMar>
              <w:top w:w="100" w:type="dxa"/>
              <w:start w:w="100" w:type="dxa"/>
              <w:bottom w:w="100" w:type="dxa"/>
              <w:end w:w="100" w:type="dxa"/>
            </w:tcMar>
          </w:tcPr>
          <w:p>
            <w:pPr>
              <w:pStyle w:val="TableText"/>
            </w:pPr>
            <w:r>
              <w:t>Release and recovery procedures</w:t>
            </w:r>
          </w:p>
        </w:tc>
      </w:tr>
      <w:tr>
        <w:tc>
          <w:tcPr>
            <w:tcW w:type="dxa" w:w="2880"/>
            <w:vAlign w:val="center"/>
            <w:tcMar>
              <w:top w:w="100" w:type="dxa"/>
              <w:start w:w="100" w:type="dxa"/>
              <w:bottom w:w="100" w:type="dxa"/>
              <w:end w:w="100" w:type="dxa"/>
            </w:tcMar>
          </w:tcPr>
          <w:p>
            <w:pPr>
              <w:pStyle w:val="TableText"/>
            </w:pPr>
            <w:r>
              <w:t>ADRs</w:t>
            </w:r>
          </w:p>
        </w:tc>
        <w:tc>
          <w:tcPr>
            <w:tcW w:type="dxa" w:w="1584"/>
            <w:vAlign w:val="center"/>
            <w:tcMar>
              <w:top w:w="100" w:type="dxa"/>
              <w:start w:w="100" w:type="dxa"/>
              <w:bottom w:w="100" w:type="dxa"/>
              <w:end w:w="100" w:type="dxa"/>
            </w:tcMar>
          </w:tcPr>
          <w:p>
            <w:pPr>
              <w:pStyle w:val="TableText"/>
            </w:pPr>
            <w:r>
              <w:t>Team</w:t>
            </w:r>
          </w:p>
        </w:tc>
        <w:tc>
          <w:tcPr>
            <w:tcW w:type="dxa" w:w="4752"/>
            <w:vAlign w:val="center"/>
            <w:tcMar>
              <w:top w:w="100" w:type="dxa"/>
              <w:start w:w="100" w:type="dxa"/>
              <w:bottom w:w="100" w:type="dxa"/>
              <w:end w:w="100" w:type="dxa"/>
            </w:tcMar>
          </w:tcPr>
          <w:p>
            <w:pPr>
              <w:pStyle w:val="TableText"/>
            </w:pPr>
            <w:r>
              <w:t>Important technical decisions</w:t>
            </w:r>
          </w:p>
        </w:tc>
      </w:tr>
    </w:tbl>
    <w:p>
      <w:pPr>
        <w:spacing w:after="20"/>
      </w:pPr>
    </w:p>
    <w:p>
      <w:r>
        <w:t>Documents will be stored in the project repository and versioned. Major revisions will receive a new document version. Testing will be based primarily on the SRS rather than on UI mockups. Mockups are non-normative where their values conflict with the SRS.</w:t>
      </w:r>
    </w:p>
    <w:p>
      <w:pPr>
        <w:pStyle w:val="Heading1"/>
        <w:keepNext/>
      </w:pPr>
      <w:r>
        <w:t>5. Standards, Practices, Conventions, and Metrics</w:t>
      </w:r>
    </w:p>
    <w:p>
      <w:pPr>
        <w:pStyle w:val="Heading2"/>
        <w:keepNext/>
      </w:pPr>
      <w:r>
        <w:t>5.1 Coding Standards</w:t>
      </w:r>
    </w:p>
    <w:p>
      <w:pPr>
        <w:pStyle w:val="ListBullet"/>
      </w:pPr>
      <w:r>
        <w:t>Python/FastAPI backend: PEP 8 compatible formatting and linting.</w:t>
      </w:r>
    </w:p>
    <w:p>
      <w:pPr>
        <w:pStyle w:val="ListBullet"/>
      </w:pPr>
      <w:r>
        <w:t>React/Next.js frontend: ESLint and consistent formatter rules.</w:t>
      </w:r>
    </w:p>
    <w:p>
      <w:pPr>
        <w:pStyle w:val="ListBullet"/>
      </w:pPr>
      <w:r>
        <w:t>REST APIs: /api/v1 versioning and structured JSON contracts.</w:t>
      </w:r>
    </w:p>
    <w:p>
      <w:pPr>
        <w:pStyle w:val="ListBullet"/>
      </w:pPr>
      <w:r>
        <w:t>Money values: integer cents internally.</w:t>
      </w:r>
    </w:p>
    <w:p>
      <w:pPr>
        <w:pStyle w:val="ListBullet"/>
      </w:pPr>
      <w:r>
        <w:t>Dates and timestamps: ISO 8601.</w:t>
      </w:r>
    </w:p>
    <w:p>
      <w:pPr>
        <w:pStyle w:val="ListBullet"/>
      </w:pPr>
      <w:r>
        <w:t>Database access: parameterized operations.</w:t>
      </w:r>
    </w:p>
    <w:p>
      <w:pPr>
        <w:pStyle w:val="ListBullet"/>
      </w:pPr>
      <w:r>
        <w:t>Secrets: environment-managed and never committed to source control.</w:t>
      </w:r>
    </w:p>
    <w:p>
      <w:pPr>
        <w:pStyle w:val="ListBullet"/>
      </w:pPr>
      <w:r>
        <w:t>Naming and comments should make business logic understandable without depending on AI-generated explanations.</w:t>
      </w:r>
    </w:p>
    <w:p>
      <w:pPr>
        <w:pStyle w:val="Heading2"/>
        <w:keepNext/>
      </w:pPr>
      <w:r>
        <w:t>5.2 Development Practices</w:t>
      </w:r>
    </w:p>
    <w:p>
      <w:pPr>
        <w:pStyle w:val="ListBullet"/>
      </w:pPr>
      <w:r>
        <w:t>Feature branches.</w:t>
      </w:r>
    </w:p>
    <w:p>
      <w:pPr>
        <w:pStyle w:val="ListBullet"/>
      </w:pPr>
      <w:r>
        <w:t>Pull requests before merge.</w:t>
      </w:r>
    </w:p>
    <w:p>
      <w:pPr>
        <w:pStyle w:val="ListBullet"/>
      </w:pPr>
      <w:r>
        <w:t>Protected main branch.</w:t>
      </w:r>
    </w:p>
    <w:p>
      <w:pPr>
        <w:pStyle w:val="ListBullet"/>
      </w:pPr>
      <w:r>
        <w:t>At least one reviewer other than the author.</w:t>
      </w:r>
    </w:p>
    <w:p>
      <w:pPr>
        <w:pStyle w:val="ListBullet"/>
      </w:pPr>
      <w:r>
        <w:t>Automated CI tests.</w:t>
      </w:r>
    </w:p>
    <w:p>
      <w:pPr>
        <w:pStyle w:val="ListBullet"/>
      </w:pPr>
      <w:r>
        <w:t>Static analysis and linting.</w:t>
      </w:r>
    </w:p>
    <w:p>
      <w:pPr>
        <w:pStyle w:val="ListBullet"/>
      </w:pPr>
      <w:r>
        <w:t>Dependency scanning.</w:t>
      </w:r>
    </w:p>
    <w:p>
      <w:pPr>
        <w:pStyle w:val="ListBullet"/>
      </w:pPr>
      <w:r>
        <w:t>Requirement-linked test cases.</w:t>
      </w:r>
    </w:p>
    <w:p>
      <w:pPr>
        <w:pStyle w:val="ListBullet"/>
      </w:pPr>
      <w:r>
        <w:t>Regression testing after defect fixes.</w:t>
      </w:r>
    </w:p>
    <w:p>
      <w:pPr>
        <w:pStyle w:val="ListBullet"/>
      </w:pPr>
      <w:r>
        <w:t>Semantic release tagging.</w:t>
      </w:r>
    </w:p>
    <w:p>
      <w:r>
        <w:t>No AI-generated code may bypass normal review.</w:t>
      </w:r>
    </w:p>
    <w:p>
      <w:pPr>
        <w:pStyle w:val="Heading2"/>
        <w:keepNext/>
      </w:pPr>
      <w:r>
        <w:t>5.3 Quality Metrics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6912"/>
            <w:shd w:fill="166753"/>
            <w:vAlign w:val="center"/>
            <w:tcMar>
              <w:top w:w="110" w:type="dxa"/>
              <w:start w:w="100" w:type="dxa"/>
              <w:bottom w:w="110" w:type="dxa"/>
              <w:end w:w="100" w:type="dxa"/>
            </w:tcMar>
          </w:tcPr>
          <w:p>
            <w:pPr>
              <w:pStyle w:val="TableText"/>
              <w:jc w:val="center"/>
            </w:pPr>
            <w:r>
              <w:rPr>
                <w:b/>
                <w:color w:val="FFFFFF"/>
              </w:rPr>
              <w:t>Metric</w:t>
            </w:r>
          </w:p>
        </w:tc>
        <w:tc>
          <w:tcPr>
            <w:tcW w:type="dxa" w:w="2304"/>
            <w:shd w:fill="166753"/>
            <w:vAlign w:val="center"/>
            <w:tcMar>
              <w:top w:w="110" w:type="dxa"/>
              <w:start w:w="100" w:type="dxa"/>
              <w:bottom w:w="110" w:type="dxa"/>
              <w:end w:w="100" w:type="dxa"/>
            </w:tcMar>
          </w:tcPr>
          <w:p>
            <w:pPr>
              <w:pStyle w:val="TableText"/>
              <w:jc w:val="center"/>
            </w:pPr>
            <w:r>
              <w:rPr>
                <w:b/>
                <w:color w:val="FFFFFF"/>
              </w:rPr>
              <w:t>Target</w:t>
            </w:r>
          </w:p>
        </w:tc>
      </w:tr>
      <w:tr>
        <w:tc>
          <w:tcPr>
            <w:tcW w:type="dxa" w:w="6912"/>
            <w:vAlign w:val="center"/>
            <w:tcMar>
              <w:top w:w="100" w:type="dxa"/>
              <w:start w:w="100" w:type="dxa"/>
              <w:bottom w:w="100" w:type="dxa"/>
              <w:end w:w="100" w:type="dxa"/>
            </w:tcMar>
          </w:tcPr>
          <w:p>
            <w:pPr>
              <w:pStyle w:val="TableText"/>
            </w:pPr>
            <w:r>
              <w:t>Approved pace-v1 golden tests passed</w:t>
            </w:r>
          </w:p>
        </w:tc>
        <w:tc>
          <w:tcPr>
            <w:tcW w:type="dxa" w:w="2304"/>
            <w:vAlign w:val="center"/>
            <w:tcMar>
              <w:top w:w="100" w:type="dxa"/>
              <w:start w:w="100" w:type="dxa"/>
              <w:bottom w:w="100" w:type="dxa"/>
              <w:end w:w="100" w:type="dxa"/>
            </w:tcMar>
          </w:tcPr>
          <w:p>
            <w:pPr>
              <w:pStyle w:val="TableText"/>
            </w:pPr>
            <w:r>
              <w:t>100%</w:t>
            </w:r>
          </w:p>
        </w:tc>
      </w:tr>
      <w:tr>
        <w:tc>
          <w:tcPr>
            <w:tcW w:type="dxa" w:w="6912"/>
            <w:vAlign w:val="center"/>
            <w:tcMar>
              <w:top w:w="100" w:type="dxa"/>
              <w:start w:w="100" w:type="dxa"/>
              <w:bottom w:w="100" w:type="dxa"/>
              <w:end w:w="100" w:type="dxa"/>
            </w:tcMar>
          </w:tcPr>
          <w:p>
            <w:pPr>
              <w:pStyle w:val="TableText"/>
            </w:pPr>
            <w:r>
              <w:t>Pace-engine branch coverage</w:t>
            </w:r>
          </w:p>
        </w:tc>
        <w:tc>
          <w:tcPr>
            <w:tcW w:type="dxa" w:w="2304"/>
            <w:vAlign w:val="center"/>
            <w:tcMar>
              <w:top w:w="100" w:type="dxa"/>
              <w:start w:w="100" w:type="dxa"/>
              <w:bottom w:w="100" w:type="dxa"/>
              <w:end w:w="100" w:type="dxa"/>
            </w:tcMar>
          </w:tcPr>
          <w:p>
            <w:pPr>
              <w:pStyle w:val="TableText"/>
            </w:pPr>
            <w:r>
              <w:t>&gt;= 90%</w:t>
            </w:r>
          </w:p>
        </w:tc>
      </w:tr>
      <w:tr>
        <w:tc>
          <w:tcPr>
            <w:tcW w:type="dxa" w:w="6912"/>
            <w:vAlign w:val="center"/>
            <w:tcMar>
              <w:top w:w="100" w:type="dxa"/>
              <w:start w:w="100" w:type="dxa"/>
              <w:bottom w:w="100" w:type="dxa"/>
              <w:end w:w="100" w:type="dxa"/>
            </w:tcMar>
          </w:tcPr>
          <w:p>
            <w:pPr>
              <w:pStyle w:val="TableText"/>
            </w:pPr>
            <w:r>
              <w:t>Backend line coverage</w:t>
            </w:r>
          </w:p>
        </w:tc>
        <w:tc>
          <w:tcPr>
            <w:tcW w:type="dxa" w:w="2304"/>
            <w:vAlign w:val="center"/>
            <w:tcMar>
              <w:top w:w="100" w:type="dxa"/>
              <w:start w:w="100" w:type="dxa"/>
              <w:bottom w:w="100" w:type="dxa"/>
              <w:end w:w="100" w:type="dxa"/>
            </w:tcMar>
          </w:tcPr>
          <w:p>
            <w:pPr>
              <w:pStyle w:val="TableText"/>
            </w:pPr>
            <w:r>
              <w:t>&gt;= 75%</w:t>
            </w:r>
          </w:p>
        </w:tc>
      </w:tr>
      <w:tr>
        <w:tc>
          <w:tcPr>
            <w:tcW w:type="dxa" w:w="6912"/>
            <w:vAlign w:val="center"/>
            <w:tcMar>
              <w:top w:w="100" w:type="dxa"/>
              <w:start w:w="100" w:type="dxa"/>
              <w:bottom w:w="100" w:type="dxa"/>
              <w:end w:w="100" w:type="dxa"/>
            </w:tcMar>
          </w:tcPr>
          <w:p>
            <w:pPr>
              <w:pStyle w:val="TableText"/>
            </w:pPr>
            <w:r>
              <w:t>Must requirements with test evidence</w:t>
            </w:r>
          </w:p>
        </w:tc>
        <w:tc>
          <w:tcPr>
            <w:tcW w:type="dxa" w:w="2304"/>
            <w:vAlign w:val="center"/>
            <w:tcMar>
              <w:top w:w="100" w:type="dxa"/>
              <w:start w:w="100" w:type="dxa"/>
              <w:bottom w:w="100" w:type="dxa"/>
              <w:end w:w="100" w:type="dxa"/>
            </w:tcMar>
          </w:tcPr>
          <w:p>
            <w:pPr>
              <w:pStyle w:val="TableText"/>
            </w:pPr>
            <w:r>
              <w:t>100%</w:t>
            </w:r>
          </w:p>
        </w:tc>
      </w:tr>
      <w:tr>
        <w:tc>
          <w:tcPr>
            <w:tcW w:type="dxa" w:w="6912"/>
            <w:vAlign w:val="center"/>
            <w:tcMar>
              <w:top w:w="100" w:type="dxa"/>
              <w:start w:w="100" w:type="dxa"/>
              <w:bottom w:w="100" w:type="dxa"/>
              <w:end w:w="100" w:type="dxa"/>
            </w:tcMar>
          </w:tcPr>
          <w:p>
            <w:pPr>
              <w:pStyle w:val="TableText"/>
            </w:pPr>
            <w:r>
              <w:t>Critical/High security findings at release</w:t>
            </w:r>
          </w:p>
        </w:tc>
        <w:tc>
          <w:tcPr>
            <w:tcW w:type="dxa" w:w="2304"/>
            <w:vAlign w:val="center"/>
            <w:tcMar>
              <w:top w:w="100" w:type="dxa"/>
              <w:start w:w="100" w:type="dxa"/>
              <w:bottom w:w="100" w:type="dxa"/>
              <w:end w:w="100" w:type="dxa"/>
            </w:tcMar>
          </w:tcPr>
          <w:p>
            <w:pPr>
              <w:pStyle w:val="TableText"/>
            </w:pPr>
            <w:r>
              <w:t>0</w:t>
            </w:r>
          </w:p>
        </w:tc>
      </w:tr>
      <w:tr>
        <w:tc>
          <w:tcPr>
            <w:tcW w:type="dxa" w:w="6912"/>
            <w:vAlign w:val="center"/>
            <w:tcMar>
              <w:top w:w="100" w:type="dxa"/>
              <w:start w:w="100" w:type="dxa"/>
              <w:bottom w:w="100" w:type="dxa"/>
              <w:end w:w="100" w:type="dxa"/>
            </w:tcMar>
          </w:tcPr>
          <w:p>
            <w:pPr>
              <w:pStyle w:val="TableText"/>
            </w:pPr>
            <w:r>
              <w:t>CI build pass rate for release candidate</w:t>
            </w:r>
          </w:p>
        </w:tc>
        <w:tc>
          <w:tcPr>
            <w:tcW w:type="dxa" w:w="2304"/>
            <w:vAlign w:val="center"/>
            <w:tcMar>
              <w:top w:w="100" w:type="dxa"/>
              <w:start w:w="100" w:type="dxa"/>
              <w:bottom w:w="100" w:type="dxa"/>
              <w:end w:w="100" w:type="dxa"/>
            </w:tcMar>
          </w:tcPr>
          <w:p>
            <w:pPr>
              <w:pStyle w:val="TableText"/>
            </w:pPr>
            <w:r>
              <w:t>100%</w:t>
            </w:r>
          </w:p>
        </w:tc>
      </w:tr>
      <w:tr>
        <w:tc>
          <w:tcPr>
            <w:tcW w:type="dxa" w:w="6912"/>
            <w:vAlign w:val="center"/>
            <w:tcMar>
              <w:top w:w="100" w:type="dxa"/>
              <w:start w:w="100" w:type="dxa"/>
              <w:bottom w:w="100" w:type="dxa"/>
              <w:end w:w="100" w:type="dxa"/>
            </w:tcMar>
          </w:tcPr>
          <w:p>
            <w:pPr>
              <w:pStyle w:val="TableText"/>
            </w:pPr>
            <w:r>
              <w:t>Failed regression tests at release</w:t>
            </w:r>
          </w:p>
        </w:tc>
        <w:tc>
          <w:tcPr>
            <w:tcW w:type="dxa" w:w="2304"/>
            <w:vAlign w:val="center"/>
            <w:tcMar>
              <w:top w:w="100" w:type="dxa"/>
              <w:start w:w="100" w:type="dxa"/>
              <w:bottom w:w="100" w:type="dxa"/>
              <w:end w:w="100" w:type="dxa"/>
            </w:tcMar>
          </w:tcPr>
          <w:p>
            <w:pPr>
              <w:pStyle w:val="TableText"/>
            </w:pPr>
            <w:r>
              <w:t>0</w:t>
            </w:r>
          </w:p>
        </w:tc>
      </w:tr>
      <w:tr>
        <w:tc>
          <w:tcPr>
            <w:tcW w:type="dxa" w:w="6912"/>
            <w:vAlign w:val="center"/>
            <w:tcMar>
              <w:top w:w="100" w:type="dxa"/>
              <w:start w:w="100" w:type="dxa"/>
              <w:bottom w:w="100" w:type="dxa"/>
              <w:end w:w="100" w:type="dxa"/>
            </w:tcMar>
          </w:tcPr>
          <w:p>
            <w:pPr>
              <w:pStyle w:val="TableText"/>
            </w:pPr>
            <w:r>
              <w:t>Critical accessibility violations</w:t>
            </w:r>
          </w:p>
        </w:tc>
        <w:tc>
          <w:tcPr>
            <w:tcW w:type="dxa" w:w="2304"/>
            <w:vAlign w:val="center"/>
            <w:tcMar>
              <w:top w:w="100" w:type="dxa"/>
              <w:start w:w="100" w:type="dxa"/>
              <w:bottom w:w="100" w:type="dxa"/>
              <w:end w:w="100" w:type="dxa"/>
            </w:tcMar>
          </w:tcPr>
          <w:p>
            <w:pPr>
              <w:pStyle w:val="TableText"/>
            </w:pPr>
            <w:r>
              <w:t>0</w:t>
            </w:r>
          </w:p>
        </w:tc>
      </w:tr>
      <w:tr>
        <w:tc>
          <w:tcPr>
            <w:tcW w:type="dxa" w:w="6912"/>
            <w:vAlign w:val="center"/>
            <w:tcMar>
              <w:top w:w="100" w:type="dxa"/>
              <w:start w:w="100" w:type="dxa"/>
              <w:bottom w:w="100" w:type="dxa"/>
              <w:end w:w="100" w:type="dxa"/>
            </w:tcMar>
          </w:tcPr>
          <w:p>
            <w:pPr>
              <w:pStyle w:val="TableText"/>
            </w:pPr>
            <w:r>
              <w:t>First-time usability success</w:t>
            </w:r>
          </w:p>
        </w:tc>
        <w:tc>
          <w:tcPr>
            <w:tcW w:type="dxa" w:w="2304"/>
            <w:vAlign w:val="center"/>
            <w:tcMar>
              <w:top w:w="100" w:type="dxa"/>
              <w:start w:w="100" w:type="dxa"/>
              <w:bottom w:w="100" w:type="dxa"/>
              <w:end w:w="100" w:type="dxa"/>
            </w:tcMar>
          </w:tcPr>
          <w:p>
            <w:pPr>
              <w:pStyle w:val="TableText"/>
            </w:pPr>
            <w:r>
              <w:t>&gt;= 80%</w:t>
            </w:r>
          </w:p>
        </w:tc>
      </w:tr>
      <w:tr>
        <w:tc>
          <w:tcPr>
            <w:tcW w:type="dxa" w:w="6912"/>
            <w:vAlign w:val="center"/>
            <w:tcMar>
              <w:top w:w="100" w:type="dxa"/>
              <w:start w:w="100" w:type="dxa"/>
              <w:bottom w:w="100" w:type="dxa"/>
              <w:end w:w="100" w:type="dxa"/>
            </w:tcMar>
          </w:tcPr>
          <w:p>
            <w:pPr>
              <w:pStyle w:val="TableText"/>
            </w:pPr>
            <w:r>
              <w:t>Defect count by severity</w:t>
            </w:r>
          </w:p>
        </w:tc>
        <w:tc>
          <w:tcPr>
            <w:tcW w:type="dxa" w:w="2304"/>
            <w:vAlign w:val="center"/>
            <w:tcMar>
              <w:top w:w="100" w:type="dxa"/>
              <w:start w:w="100" w:type="dxa"/>
              <w:bottom w:w="100" w:type="dxa"/>
              <w:end w:w="100" w:type="dxa"/>
            </w:tcMar>
          </w:tcPr>
          <w:p>
            <w:pPr>
              <w:pStyle w:val="TableText"/>
            </w:pPr>
            <w:r>
              <w:t>Tracked each sprint</w:t>
            </w:r>
          </w:p>
        </w:tc>
      </w:tr>
      <w:tr>
        <w:tc>
          <w:tcPr>
            <w:tcW w:type="dxa" w:w="6912"/>
            <w:vAlign w:val="center"/>
            <w:tcMar>
              <w:top w:w="100" w:type="dxa"/>
              <w:start w:w="100" w:type="dxa"/>
              <w:bottom w:w="100" w:type="dxa"/>
              <w:end w:w="100" w:type="dxa"/>
            </w:tcMar>
          </w:tcPr>
          <w:p>
            <w:pPr>
              <w:pStyle w:val="TableText"/>
            </w:pPr>
            <w:r>
              <w:t>Reopened defects</w:t>
            </w:r>
          </w:p>
        </w:tc>
        <w:tc>
          <w:tcPr>
            <w:tcW w:type="dxa" w:w="2304"/>
            <w:vAlign w:val="center"/>
            <w:tcMar>
              <w:top w:w="100" w:type="dxa"/>
              <w:start w:w="100" w:type="dxa"/>
              <w:bottom w:w="100" w:type="dxa"/>
              <w:end w:w="100" w:type="dxa"/>
            </w:tcMar>
          </w:tcPr>
          <w:p>
            <w:pPr>
              <w:pStyle w:val="TableText"/>
            </w:pPr>
            <w:r>
              <w:t>Tracked</w:t>
            </w:r>
          </w:p>
        </w:tc>
      </w:tr>
      <w:tr>
        <w:tc>
          <w:tcPr>
            <w:tcW w:type="dxa" w:w="6912"/>
            <w:vAlign w:val="center"/>
            <w:tcMar>
              <w:top w:w="100" w:type="dxa"/>
              <w:start w:w="100" w:type="dxa"/>
              <w:bottom w:w="100" w:type="dxa"/>
              <w:end w:w="100" w:type="dxa"/>
            </w:tcMar>
          </w:tcPr>
          <w:p>
            <w:pPr>
              <w:pStyle w:val="TableText"/>
            </w:pPr>
            <w:r>
              <w:t>Build failures</w:t>
            </w:r>
          </w:p>
        </w:tc>
        <w:tc>
          <w:tcPr>
            <w:tcW w:type="dxa" w:w="2304"/>
            <w:vAlign w:val="center"/>
            <w:tcMar>
              <w:top w:w="100" w:type="dxa"/>
              <w:start w:w="100" w:type="dxa"/>
              <w:bottom w:w="100" w:type="dxa"/>
              <w:end w:w="100" w:type="dxa"/>
            </w:tcMar>
          </w:tcPr>
          <w:p>
            <w:pPr>
              <w:pStyle w:val="TableText"/>
            </w:pPr>
            <w:r>
              <w:t>Tracked</w:t>
            </w:r>
          </w:p>
        </w:tc>
      </w:tr>
      <w:tr>
        <w:tc>
          <w:tcPr>
            <w:tcW w:type="dxa" w:w="6912"/>
            <w:vAlign w:val="center"/>
            <w:tcMar>
              <w:top w:w="100" w:type="dxa"/>
              <w:start w:w="100" w:type="dxa"/>
              <w:bottom w:w="100" w:type="dxa"/>
              <w:end w:w="100" w:type="dxa"/>
            </w:tcMar>
          </w:tcPr>
          <w:p>
            <w:pPr>
              <w:pStyle w:val="TableText"/>
            </w:pPr>
            <w:r>
              <w:t>Requirement completion</w:t>
            </w:r>
          </w:p>
        </w:tc>
        <w:tc>
          <w:tcPr>
            <w:tcW w:type="dxa" w:w="2304"/>
            <w:vAlign w:val="center"/>
            <w:tcMar>
              <w:top w:w="100" w:type="dxa"/>
              <w:start w:w="100" w:type="dxa"/>
              <w:bottom w:w="100" w:type="dxa"/>
              <w:end w:w="100" w:type="dxa"/>
            </w:tcMar>
          </w:tcPr>
          <w:p>
            <w:pPr>
              <w:pStyle w:val="TableText"/>
            </w:pPr>
            <w:r>
              <w:t>Tracked</w:t>
            </w:r>
          </w:p>
        </w:tc>
      </w:tr>
    </w:tbl>
    <w:p>
      <w:pPr>
        <w:spacing w:after="20"/>
      </w:pPr>
    </w:p>
    <w:p>
      <w:r>
        <w:t>The pace engine must produce the correct result in 100% of approved golden scenarios and return deterministic results for repeated identical normalized inputs.</w:t>
      </w:r>
    </w:p>
    <w:p>
      <w:pPr>
        <w:pStyle w:val="Heading1"/>
        <w:keepNext/>
      </w:pPr>
      <w:r>
        <w:t>6. Reviews and Audits</w:t>
      </w:r>
    </w:p>
    <w:p>
      <w:pPr>
        <w:pStyle w:val="Heading2"/>
        <w:keepNext/>
      </w:pPr>
      <w:r>
        <w:t>6.1 Requirements Review</w:t>
      </w:r>
    </w:p>
    <w:p>
      <w:r>
        <w:t>The team will review SRS requirements for testability, completeness, internal consistency, EARS syntax, clear acceptance criteria, and traceability to tests. A requirement with unclear expected behavior will be clarified before implementation or test approval.</w:t>
      </w:r>
    </w:p>
    <w:p>
      <w:pPr>
        <w:pStyle w:val="Heading2"/>
        <w:keepNext/>
      </w:pPr>
      <w:r>
        <w:t>6.2 Design Review</w:t>
      </w:r>
    </w:p>
    <w:p>
      <w:pPr>
        <w:pStyle w:val="ListBullet"/>
      </w:pPr>
      <w:r>
        <w:t>Backend ownership of financial calculations.</w:t>
      </w:r>
    </w:p>
    <w:p>
      <w:pPr>
        <w:pStyle w:val="ListBullet"/>
      </w:pPr>
      <w:r>
        <w:t>Correct database relationships.</w:t>
      </w:r>
    </w:p>
    <w:p>
      <w:pPr>
        <w:pStyle w:val="ListBullet"/>
      </w:pPr>
      <w:r>
        <w:t>Atomic input/snapshot persistence.</w:t>
      </w:r>
    </w:p>
    <w:p>
      <w:pPr>
        <w:pStyle w:val="ListBullet"/>
      </w:pPr>
      <w:r>
        <w:t>Immutable calculation snapshots.</w:t>
      </w:r>
    </w:p>
    <w:p>
      <w:pPr>
        <w:pStyle w:val="ListBullet"/>
      </w:pPr>
      <w:r>
        <w:t>Appropriate trust boundaries.</w:t>
      </w:r>
    </w:p>
    <w:p>
      <w:pPr>
        <w:pStyle w:val="ListBullet"/>
      </w:pPr>
      <w:r>
        <w:t>Secure session and secret handling.</w:t>
      </w:r>
    </w:p>
    <w:p>
      <w:pPr>
        <w:pStyle w:val="Heading2"/>
        <w:keepNext/>
      </w:pPr>
      <w:r>
        <w:t>6.3 Code Review</w:t>
      </w:r>
    </w:p>
    <w:p>
      <w:r>
        <w:t>Every pull request must receive at least one approval from a person other than its author. Reviewers will check requirement conformance, logic correctness, input and error handling, security, test quality, edge cases, readability and maintainability, and whether AI-generated implementation assumptions were independently verified. Code review is a release-quality gate rather than an optional practice.</w:t>
      </w:r>
    </w:p>
    <w:p>
      <w:pPr>
        <w:pStyle w:val="Heading2"/>
        <w:keepNext/>
      </w:pPr>
      <w:r>
        <w:t>6.4 Quality Audits</w:t>
      </w:r>
    </w:p>
    <w:p>
      <w:pPr>
        <w:pStyle w:val="ListBullet"/>
      </w:pPr>
      <w:r>
        <w:t>Requirements traceability audit.</w:t>
      </w:r>
    </w:p>
    <w:p>
      <w:pPr>
        <w:pStyle w:val="ListBullet"/>
      </w:pPr>
      <w:r>
        <w:t>Test evidence audit.</w:t>
      </w:r>
    </w:p>
    <w:p>
      <w:pPr>
        <w:pStyle w:val="ListBullet"/>
      </w:pPr>
      <w:r>
        <w:t>Security audit.</w:t>
      </w:r>
    </w:p>
    <w:p>
      <w:pPr>
        <w:pStyle w:val="ListBullet"/>
      </w:pPr>
      <w:r>
        <w:t>Accessibility audit.</w:t>
      </w:r>
    </w:p>
    <w:p>
      <w:pPr>
        <w:pStyle w:val="ListBullet"/>
      </w:pPr>
      <w:r>
        <w:t>Documentation audit.</w:t>
      </w:r>
    </w:p>
    <w:p>
      <w:pPr>
        <w:pStyle w:val="ListBullet"/>
      </w:pPr>
      <w:r>
        <w:t>Release readiness audit.</w:t>
      </w:r>
    </w:p>
    <w:p>
      <w:r>
        <w:t>The release cannot be approved if a Must requirement lacks verification evidence.</w:t>
      </w:r>
    </w:p>
    <w:p>
      <w:pPr>
        <w:pStyle w:val="Heading1"/>
        <w:keepNext/>
      </w:pPr>
      <w:r>
        <w:t>7. Test - Software Testing Plan</w:t>
      </w:r>
    </w:p>
    <w:p>
      <w:pPr>
        <w:pStyle w:val="Heading2"/>
        <w:keepNext/>
      </w:pPr>
      <w:r>
        <w:t>7.1 Test Objectives</w:t>
      </w:r>
    </w:p>
    <w:p>
      <w:pPr>
        <w:ind w:left="403" w:hanging="317"/>
      </w:pPr>
      <w:r>
        <w:rPr>
          <w:b w:val="0"/>
        </w:rPr>
        <w:t xml:space="preserve">1. </w:t>
      </w:r>
      <w:r>
        <w:t>Implements all Must requirements in SRS v2.0.</w:t>
      </w:r>
    </w:p>
    <w:p>
      <w:pPr>
        <w:ind w:left="403" w:hanging="317"/>
      </w:pPr>
      <w:r>
        <w:rPr>
          <w:b w:val="0"/>
        </w:rPr>
        <w:t xml:space="preserve">2. </w:t>
      </w:r>
      <w:r>
        <w:t>Produces correct and deterministic pace-v1 calculations.</w:t>
      </w:r>
    </w:p>
    <w:p>
      <w:pPr>
        <w:ind w:left="403" w:hanging="317"/>
      </w:pPr>
      <w:r>
        <w:rPr>
          <w:b w:val="0"/>
        </w:rPr>
        <w:t xml:space="preserve">3. </w:t>
      </w:r>
      <w:r>
        <w:t>Protects user and financial data.</w:t>
      </w:r>
    </w:p>
    <w:p>
      <w:pPr>
        <w:ind w:left="403" w:hanging="317"/>
      </w:pPr>
      <w:r>
        <w:rPr>
          <w:b w:val="0"/>
        </w:rPr>
        <w:t xml:space="preserve">4. </w:t>
      </w:r>
      <w:r>
        <w:t>Correctly isolates users.</w:t>
      </w:r>
    </w:p>
    <w:p>
      <w:pPr>
        <w:ind w:left="403" w:hanging="317"/>
      </w:pPr>
      <w:r>
        <w:rPr>
          <w:b w:val="0"/>
        </w:rPr>
        <w:t xml:space="preserve">5. </w:t>
      </w:r>
      <w:r>
        <w:t>Handles errors without corrupting previously committed data.</w:t>
      </w:r>
    </w:p>
    <w:p>
      <w:pPr>
        <w:ind w:left="403" w:hanging="317"/>
      </w:pPr>
      <w:r>
        <w:rPr>
          <w:b w:val="0"/>
        </w:rPr>
        <w:t xml:space="preserve">6. </w:t>
      </w:r>
      <w:r>
        <w:t>Meets performance and reliability thresholds.</w:t>
      </w:r>
    </w:p>
    <w:p>
      <w:pPr>
        <w:ind w:left="403" w:hanging="317"/>
      </w:pPr>
      <w:r>
        <w:rPr>
          <w:b w:val="0"/>
        </w:rPr>
        <w:t xml:space="preserve">7. </w:t>
      </w:r>
      <w:r>
        <w:t>Works across supported browsers.</w:t>
      </w:r>
    </w:p>
    <w:p>
      <w:pPr>
        <w:ind w:left="403" w:hanging="317"/>
      </w:pPr>
      <w:r>
        <w:rPr>
          <w:b w:val="0"/>
        </w:rPr>
        <w:t xml:space="preserve">8. </w:t>
      </w:r>
      <w:r>
        <w:t>Is usable and accessible.</w:t>
      </w:r>
    </w:p>
    <w:p>
      <w:pPr>
        <w:ind w:left="403" w:hanging="317"/>
      </w:pPr>
      <w:r>
        <w:rPr>
          <w:b w:val="0"/>
        </w:rPr>
        <w:t xml:space="preserve">9. </w:t>
      </w:r>
      <w:r>
        <w:t>Remains fully functional without an external AI service.</w:t>
      </w:r>
    </w:p>
    <w:p>
      <w:pPr>
        <w:ind w:left="403" w:hanging="317"/>
      </w:pPr>
      <w:r>
        <w:rPr>
          <w:b w:val="0"/>
        </w:rPr>
        <w:t xml:space="preserve">10. </w:t>
      </w:r>
      <w:r>
        <w:t>Is fit for its intended budgeting purpose.</w:t>
      </w:r>
    </w:p>
    <w:p>
      <w:r>
        <w:t>Testing includes verification - are we building the product correctly? - and validation - are we building the correct product?</w:t>
      </w:r>
    </w:p>
    <w:p>
      <w:pPr>
        <w:pStyle w:val="Heading2"/>
        <w:keepNext/>
      </w:pPr>
      <w:r>
        <w:t>7.2 Test Levels and Sequence</w:t>
      </w:r>
    </w:p>
    <w:p>
      <w:pPr>
        <w:pStyle w:val="Heading3"/>
        <w:keepNext/>
      </w:pPr>
      <w:r>
        <w:t>Level 1 - Unit Testing</w:t>
      </w:r>
    </w:p>
    <w:p>
      <w:r>
        <w:t>Individual functions and classes will be tested first. Primary targets include pace-v1 formulas, recurrence expansion, currency normalization, downward rounding, Goal Gap and Projected Shortfall calculations, status precedence, input validation, authentication helpers, and data-model rules. The pace engine receives the strongest unit-testing emphasis because incorrect financial calculations are a catastrophic project risk.</w:t>
      </w:r>
    </w:p>
    <w:p>
      <w:pPr>
        <w:pStyle w:val="Heading3"/>
        <w:keepNext/>
      </w:pPr>
      <w:r>
        <w:t>Level 2 - Integration Testing</w:t>
      </w:r>
    </w:p>
    <w:p>
      <w:r>
        <w:t>After units pass, integration tests will verify interactions between FastAPI routes and services, the service layer and database, goal/input updates and the calculation engine, the calculation engine and snapshot creation, authentication and protected resources, frontend/backend API contracts, and weekly-plan logic with persisted snapshots. Top-down testing will be used for user-facing workflows while targeted bottom-up tests will validate lower-level calculation and persistence services.</w:t>
      </w:r>
    </w:p>
    <w:p>
      <w:pPr>
        <w:pStyle w:val="Heading3"/>
        <w:keepNext/>
      </w:pPr>
      <w:r>
        <w:t>Level 3 - System Testing</w:t>
      </w:r>
    </w:p>
    <w:p>
      <w:r>
        <w:t>The integrated application will then be tested as a complete product. System testing includes end-to-end workflows, cross-browser testing, performance testing, security testing, accessibility testing, recovery testing, export/deletion testing, error handling, and regression testing.</w:t>
      </w:r>
    </w:p>
    <w:p>
      <w:pPr>
        <w:pStyle w:val="Heading3"/>
        <w:keepNext/>
      </w:pPr>
      <w:r>
        <w:t>Level 4 - Acceptance Testing</w:t>
      </w:r>
    </w:p>
    <w:p>
      <w:r>
        <w:t>Acceptance testing will confirm that the MVP meets the SRS and customer/course expectations. The final workflow will demonstrate:</w:t>
      </w:r>
    </w:p>
    <w:p>
      <w:pPr>
        <w:ind w:left="403" w:hanging="317"/>
      </w:pPr>
      <w:r>
        <w:rPr>
          <w:b w:val="0"/>
        </w:rPr>
        <w:t xml:space="preserve">1. </w:t>
      </w:r>
      <w:r>
        <w:t>Account creation.</w:t>
      </w:r>
    </w:p>
    <w:p>
      <w:pPr>
        <w:ind w:left="403" w:hanging="317"/>
      </w:pPr>
      <w:r>
        <w:rPr>
          <w:b w:val="0"/>
        </w:rPr>
        <w:t xml:space="preserve">2. </w:t>
      </w:r>
      <w:r>
        <w:t>Goal setup.</w:t>
      </w:r>
    </w:p>
    <w:p>
      <w:pPr>
        <w:ind w:left="403" w:hanging="317"/>
      </w:pPr>
      <w:r>
        <w:rPr>
          <w:b w:val="0"/>
        </w:rPr>
        <w:t xml:space="preserve">3. </w:t>
      </w:r>
      <w:r>
        <w:t>Manual financial inputs.</w:t>
      </w:r>
    </w:p>
    <w:p>
      <w:pPr>
        <w:ind w:left="403" w:hanging="317"/>
      </w:pPr>
      <w:r>
        <w:rPr>
          <w:b w:val="0"/>
        </w:rPr>
        <w:t xml:space="preserve">4. </w:t>
      </w:r>
      <w:r>
        <w:t>pace-v1 calculation.</w:t>
      </w:r>
    </w:p>
    <w:p>
      <w:pPr>
        <w:ind w:left="403" w:hanging="317"/>
      </w:pPr>
      <w:r>
        <w:rPr>
          <w:b w:val="0"/>
        </w:rPr>
        <w:t xml:space="preserve">5. </w:t>
      </w:r>
      <w:r>
        <w:t>Dashboard review.</w:t>
      </w:r>
    </w:p>
    <w:p>
      <w:pPr>
        <w:ind w:left="403" w:hanging="317"/>
      </w:pPr>
      <w:r>
        <w:rPr>
          <w:b w:val="0"/>
        </w:rPr>
        <w:t xml:space="preserve">6. </w:t>
      </w:r>
      <w:r>
        <w:t>Calculation trace.</w:t>
      </w:r>
    </w:p>
    <w:p>
      <w:pPr>
        <w:ind w:left="403" w:hanging="317"/>
      </w:pPr>
      <w:r>
        <w:rPr>
          <w:b w:val="0"/>
        </w:rPr>
        <w:t xml:space="preserve">7. </w:t>
      </w:r>
      <w:r>
        <w:t>Data export.</w:t>
      </w:r>
    </w:p>
    <w:p>
      <w:pPr>
        <w:ind w:left="403" w:hanging="317"/>
      </w:pPr>
      <w:r>
        <w:rPr>
          <w:b w:val="0"/>
        </w:rPr>
        <w:t xml:space="preserve">8. </w:t>
      </w:r>
      <w:r>
        <w:t>Verified account deletion.</w:t>
      </w:r>
    </w:p>
    <w:p>
      <w:r>
        <w:t>The course instructor is the final academic acceptance authority.</w:t>
      </w:r>
    </w:p>
    <w:p>
      <w:pPr>
        <w:pStyle w:val="Heading2"/>
        <w:keepNext/>
      </w:pPr>
      <w:r>
        <w:t>7.3 Test Strategies</w:t>
      </w:r>
    </w:p>
    <w:p>
      <w:pPr>
        <w:pStyle w:val="Heading3"/>
        <w:keepNext/>
      </w:pPr>
      <w:r>
        <w:t>Black-Box Testing</w:t>
      </w:r>
    </w:p>
    <w:p>
      <w:r>
        <w:t>Black-box testing will be used for user workflows, API behavior, form validation, authentication, dashboard output, export and deletion, cross-browser behavior, and security behavior. Inputs and expected outputs will be derived from the SRS without relying on implementation details.</w:t>
      </w:r>
    </w:p>
    <w:p>
      <w:pPr>
        <w:pStyle w:val="Heading3"/>
        <w:keepNext/>
      </w:pPr>
      <w:r>
        <w:t>White-Box Testing</w:t>
      </w:r>
    </w:p>
    <w:p>
      <w:r>
        <w:t>White-box testing will be used for pace-v1 branches, status precedence, error paths, snapshot transaction logic, authentication/authorization logic, and coverage analysis.</w:t>
      </w:r>
    </w:p>
    <w:p>
      <w:pPr>
        <w:pStyle w:val="Heading3"/>
        <w:keepNext/>
      </w:pPr>
      <w:r>
        <w:t>Positive, Negative, Boundary, and Regression Testing</w:t>
      </w:r>
    </w:p>
    <w:p>
      <w:r>
        <w:t>Positive tests confirm normal workflows. Negative tests use invalid, missing, oversized, unauthorized, or malicious inputs and require the system to fail safely. Boundary tests cover zero values, completed goals, maximum allowed financial values, date boundaries, month-end recurrence, session expiry, failed-login thresholds, and weekly spending boundaries. Every corrected defect should receive a regression test where practical, and the full automated suite will run before each release candidate.</w:t>
      </w:r>
    </w:p>
    <w:p>
      <w:pPr>
        <w:pStyle w:val="Heading2"/>
        <w:keepNext/>
      </w:pPr>
      <w:r>
        <w:t>7.4 Key Test Cases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584"/>
            <w:shd w:fill="166753"/>
            <w:vAlign w:val="center"/>
            <w:tcMar>
              <w:top w:w="110" w:type="dxa"/>
              <w:start w:w="100" w:type="dxa"/>
              <w:bottom w:w="110" w:type="dxa"/>
              <w:end w:w="100" w:type="dxa"/>
            </w:tcMar>
          </w:tcPr>
          <w:p>
            <w:pPr>
              <w:pStyle w:val="TableText"/>
              <w:jc w:val="center"/>
            </w:pPr>
            <w:r>
              <w:rPr>
                <w:b/>
                <w:color w:val="FFFFFF"/>
              </w:rPr>
              <w:t>Test ID</w:t>
            </w:r>
          </w:p>
        </w:tc>
        <w:tc>
          <w:tcPr>
            <w:tcW w:type="dxa" w:w="1800"/>
            <w:shd w:fill="166753"/>
            <w:vAlign w:val="center"/>
            <w:tcMar>
              <w:top w:w="110" w:type="dxa"/>
              <w:start w:w="100" w:type="dxa"/>
              <w:bottom w:w="110" w:type="dxa"/>
              <w:end w:w="100" w:type="dxa"/>
            </w:tcMar>
          </w:tcPr>
          <w:p>
            <w:pPr>
              <w:pStyle w:val="TableText"/>
              <w:jc w:val="center"/>
            </w:pPr>
            <w:r>
              <w:rPr>
                <w:b/>
                <w:color w:val="FFFFFF"/>
              </w:rPr>
              <w:t>Requirement</w:t>
            </w:r>
          </w:p>
        </w:tc>
        <w:tc>
          <w:tcPr>
            <w:tcW w:type="dxa" w:w="3600"/>
            <w:shd w:fill="166753"/>
            <w:vAlign w:val="center"/>
            <w:tcMar>
              <w:top w:w="110" w:type="dxa"/>
              <w:start w:w="100" w:type="dxa"/>
              <w:bottom w:w="110" w:type="dxa"/>
              <w:end w:w="100" w:type="dxa"/>
            </w:tcMar>
          </w:tcPr>
          <w:p>
            <w:pPr>
              <w:pStyle w:val="TableText"/>
              <w:jc w:val="center"/>
            </w:pPr>
            <w:r>
              <w:rPr>
                <w:b/>
                <w:color w:val="FFFFFF"/>
              </w:rPr>
              <w:t>Test / Input</w:t>
            </w:r>
          </w:p>
        </w:tc>
        <w:tc>
          <w:tcPr>
            <w:tcW w:type="dxa" w:w="2880"/>
            <w:shd w:fill="166753"/>
            <w:vAlign w:val="center"/>
            <w:tcMar>
              <w:top w:w="110" w:type="dxa"/>
              <w:start w:w="100" w:type="dxa"/>
              <w:bottom w:w="110" w:type="dxa"/>
              <w:end w:w="100" w:type="dxa"/>
            </w:tcMar>
          </w:tcPr>
          <w:p>
            <w:pPr>
              <w:pStyle w:val="TableText"/>
              <w:jc w:val="center"/>
            </w:pPr>
            <w:r>
              <w:rPr>
                <w:b/>
                <w:color w:val="FFFFFF"/>
              </w:rPr>
              <w:t>Acceptance Criteria</w:t>
            </w:r>
          </w:p>
        </w:tc>
      </w:tr>
      <w:tr>
        <w:tc>
          <w:tcPr>
            <w:tcW w:type="dxa" w:w="1584"/>
            <w:vAlign w:val="center"/>
            <w:tcMar>
              <w:top w:w="100" w:type="dxa"/>
              <w:start w:w="100" w:type="dxa"/>
              <w:bottom w:w="100" w:type="dxa"/>
              <w:end w:w="100" w:type="dxa"/>
            </w:tcMar>
          </w:tcPr>
          <w:p>
            <w:pPr>
              <w:pStyle w:val="TableText"/>
            </w:pPr>
            <w:r>
              <w:t>TC-AUTH-001</w:t>
            </w:r>
          </w:p>
        </w:tc>
        <w:tc>
          <w:tcPr>
            <w:tcW w:type="dxa" w:w="1800"/>
            <w:vAlign w:val="center"/>
            <w:tcMar>
              <w:top w:w="100" w:type="dxa"/>
              <w:start w:w="100" w:type="dxa"/>
              <w:bottom w:w="100" w:type="dxa"/>
              <w:end w:w="100" w:type="dxa"/>
            </w:tcMar>
          </w:tcPr>
          <w:p>
            <w:pPr>
              <w:pStyle w:val="TableText"/>
            </w:pPr>
            <w:r>
              <w:t>FR-AUTH-001</w:t>
            </w:r>
          </w:p>
        </w:tc>
        <w:tc>
          <w:tcPr>
            <w:tcW w:type="dxa" w:w="3600"/>
            <w:vAlign w:val="center"/>
            <w:tcMar>
              <w:top w:w="100" w:type="dxa"/>
              <w:start w:w="100" w:type="dxa"/>
              <w:bottom w:w="100" w:type="dxa"/>
              <w:end w:w="100" w:type="dxa"/>
            </w:tcMar>
          </w:tcPr>
          <w:p>
            <w:pPr>
              <w:pStyle w:val="TableText"/>
            </w:pPr>
            <w:r>
              <w:t>Register using valid unique email/password</w:t>
            </w:r>
          </w:p>
        </w:tc>
        <w:tc>
          <w:tcPr>
            <w:tcW w:type="dxa" w:w="2880"/>
            <w:vAlign w:val="center"/>
            <w:tcMar>
              <w:top w:w="100" w:type="dxa"/>
              <w:start w:w="100" w:type="dxa"/>
              <w:bottom w:w="100" w:type="dxa"/>
              <w:end w:w="100" w:type="dxa"/>
            </w:tcMar>
          </w:tcPr>
          <w:p>
            <w:pPr>
              <w:pStyle w:val="TableText"/>
            </w:pPr>
            <w:r>
              <w:t>Account created and authenticated session begins</w:t>
            </w:r>
          </w:p>
        </w:tc>
      </w:tr>
      <w:tr>
        <w:tc>
          <w:tcPr>
            <w:tcW w:type="dxa" w:w="1584"/>
            <w:vAlign w:val="center"/>
            <w:tcMar>
              <w:top w:w="100" w:type="dxa"/>
              <w:start w:w="100" w:type="dxa"/>
              <w:bottom w:w="100" w:type="dxa"/>
              <w:end w:w="100" w:type="dxa"/>
            </w:tcMar>
          </w:tcPr>
          <w:p>
            <w:pPr>
              <w:pStyle w:val="TableText"/>
            </w:pPr>
            <w:r>
              <w:t>TC-AUTH-003</w:t>
            </w:r>
          </w:p>
        </w:tc>
        <w:tc>
          <w:tcPr>
            <w:tcW w:type="dxa" w:w="1800"/>
            <w:vAlign w:val="center"/>
            <w:tcMar>
              <w:top w:w="100" w:type="dxa"/>
              <w:start w:w="100" w:type="dxa"/>
              <w:bottom w:w="100" w:type="dxa"/>
              <w:end w:w="100" w:type="dxa"/>
            </w:tcMar>
          </w:tcPr>
          <w:p>
            <w:pPr>
              <w:pStyle w:val="TableText"/>
            </w:pPr>
            <w:r>
              <w:t>FR-AUTH-003</w:t>
            </w:r>
          </w:p>
        </w:tc>
        <w:tc>
          <w:tcPr>
            <w:tcW w:type="dxa" w:w="3600"/>
            <w:vAlign w:val="center"/>
            <w:tcMar>
              <w:top w:w="100" w:type="dxa"/>
              <w:start w:w="100" w:type="dxa"/>
              <w:bottom w:w="100" w:type="dxa"/>
              <w:end w:w="100" w:type="dxa"/>
            </w:tcMar>
          </w:tcPr>
          <w:p>
            <w:pPr>
              <w:pStyle w:val="TableText"/>
            </w:pPr>
            <w:r>
              <w:t>Submit invalid credentials</w:t>
            </w:r>
          </w:p>
        </w:tc>
        <w:tc>
          <w:tcPr>
            <w:tcW w:type="dxa" w:w="2880"/>
            <w:vAlign w:val="center"/>
            <w:tcMar>
              <w:top w:w="100" w:type="dxa"/>
              <w:start w:w="100" w:type="dxa"/>
              <w:bottom w:w="100" w:type="dxa"/>
              <w:end w:w="100" w:type="dxa"/>
            </w:tcMar>
          </w:tcPr>
          <w:p>
            <w:pPr>
              <w:pStyle w:val="TableText"/>
            </w:pPr>
            <w:r>
              <w:t>Access denied with generic error; account existence not revealed</w:t>
            </w:r>
          </w:p>
        </w:tc>
      </w:tr>
      <w:tr>
        <w:tc>
          <w:tcPr>
            <w:tcW w:type="dxa" w:w="1584"/>
            <w:vAlign w:val="center"/>
            <w:tcMar>
              <w:top w:w="100" w:type="dxa"/>
              <w:start w:w="100" w:type="dxa"/>
              <w:bottom w:w="100" w:type="dxa"/>
              <w:end w:w="100" w:type="dxa"/>
            </w:tcMar>
          </w:tcPr>
          <w:p>
            <w:pPr>
              <w:pStyle w:val="TableText"/>
            </w:pPr>
            <w:r>
              <w:t>TC-GOAL-003</w:t>
            </w:r>
          </w:p>
        </w:tc>
        <w:tc>
          <w:tcPr>
            <w:tcW w:type="dxa" w:w="1800"/>
            <w:vAlign w:val="center"/>
            <w:tcMar>
              <w:top w:w="100" w:type="dxa"/>
              <w:start w:w="100" w:type="dxa"/>
              <w:bottom w:w="100" w:type="dxa"/>
              <w:end w:w="100" w:type="dxa"/>
            </w:tcMar>
          </w:tcPr>
          <w:p>
            <w:pPr>
              <w:pStyle w:val="TableText"/>
            </w:pPr>
            <w:r>
              <w:t>FR-GOAL-003</w:t>
            </w:r>
          </w:p>
        </w:tc>
        <w:tc>
          <w:tcPr>
            <w:tcW w:type="dxa" w:w="3600"/>
            <w:vAlign w:val="center"/>
            <w:tcMar>
              <w:top w:w="100" w:type="dxa"/>
              <w:start w:w="100" w:type="dxa"/>
              <w:bottom w:w="100" w:type="dxa"/>
              <w:end w:w="100" w:type="dxa"/>
            </w:tcMar>
          </w:tcPr>
          <w:p>
            <w:pPr>
              <w:pStyle w:val="TableText"/>
            </w:pPr>
            <w:r>
              <w:t>Try creating second Active goal</w:t>
            </w:r>
          </w:p>
        </w:tc>
        <w:tc>
          <w:tcPr>
            <w:tcW w:type="dxa" w:w="2880"/>
            <w:vAlign w:val="center"/>
            <w:tcMar>
              <w:top w:w="100" w:type="dxa"/>
              <w:start w:w="100" w:type="dxa"/>
              <w:bottom w:w="100" w:type="dxa"/>
              <w:end w:w="100" w:type="dxa"/>
            </w:tcMar>
          </w:tcPr>
          <w:p>
            <w:pPr>
              <w:pStyle w:val="TableText"/>
            </w:pPr>
            <w:r>
              <w:t>System rejects second Active goal</w:t>
            </w:r>
          </w:p>
        </w:tc>
      </w:tr>
      <w:tr>
        <w:tc>
          <w:tcPr>
            <w:tcW w:type="dxa" w:w="1584"/>
            <w:vAlign w:val="center"/>
            <w:tcMar>
              <w:top w:w="100" w:type="dxa"/>
              <w:start w:w="100" w:type="dxa"/>
              <w:bottom w:w="100" w:type="dxa"/>
              <w:end w:w="100" w:type="dxa"/>
            </w:tcMar>
          </w:tcPr>
          <w:p>
            <w:pPr>
              <w:pStyle w:val="TableText"/>
            </w:pPr>
            <w:r>
              <w:t>TC-INP-004</w:t>
            </w:r>
          </w:p>
        </w:tc>
        <w:tc>
          <w:tcPr>
            <w:tcW w:type="dxa" w:w="1800"/>
            <w:vAlign w:val="center"/>
            <w:tcMar>
              <w:top w:w="100" w:type="dxa"/>
              <w:start w:w="100" w:type="dxa"/>
              <w:bottom w:w="100" w:type="dxa"/>
              <w:end w:w="100" w:type="dxa"/>
            </w:tcMar>
          </w:tcPr>
          <w:p>
            <w:pPr>
              <w:pStyle w:val="TableText"/>
            </w:pPr>
            <w:r>
              <w:t>FR-INP-004</w:t>
            </w:r>
          </w:p>
        </w:tc>
        <w:tc>
          <w:tcPr>
            <w:tcW w:type="dxa" w:w="3600"/>
            <w:vAlign w:val="center"/>
            <w:tcMar>
              <w:top w:w="100" w:type="dxa"/>
              <w:start w:w="100" w:type="dxa"/>
              <w:bottom w:w="100" w:type="dxa"/>
              <w:end w:w="100" w:type="dxa"/>
            </w:tcMar>
          </w:tcPr>
          <w:p>
            <w:pPr>
              <w:pStyle w:val="TableText"/>
            </w:pPr>
            <w:r>
              <w:t>Add unconfirmed $1,000 income</w:t>
            </w:r>
          </w:p>
        </w:tc>
        <w:tc>
          <w:tcPr>
            <w:tcW w:type="dxa" w:w="2880"/>
            <w:vAlign w:val="center"/>
            <w:tcMar>
              <w:top w:w="100" w:type="dxa"/>
              <w:start w:w="100" w:type="dxa"/>
              <w:bottom w:w="100" w:type="dxa"/>
              <w:end w:w="100" w:type="dxa"/>
            </w:tcMar>
          </w:tcPr>
          <w:p>
            <w:pPr>
              <w:pStyle w:val="TableText"/>
            </w:pPr>
            <w:r>
              <w:t>Income excluded from forecast</w:t>
            </w:r>
          </w:p>
        </w:tc>
      </w:tr>
      <w:tr>
        <w:tc>
          <w:tcPr>
            <w:tcW w:type="dxa" w:w="1584"/>
            <w:vAlign w:val="center"/>
            <w:tcMar>
              <w:top w:w="100" w:type="dxa"/>
              <w:start w:w="100" w:type="dxa"/>
              <w:bottom w:w="100" w:type="dxa"/>
              <w:end w:w="100" w:type="dxa"/>
            </w:tcMar>
          </w:tcPr>
          <w:p>
            <w:pPr>
              <w:pStyle w:val="TableText"/>
            </w:pPr>
            <w:r>
              <w:t>TC-INP-008</w:t>
            </w:r>
          </w:p>
        </w:tc>
        <w:tc>
          <w:tcPr>
            <w:tcW w:type="dxa" w:w="1800"/>
            <w:vAlign w:val="center"/>
            <w:tcMar>
              <w:top w:w="100" w:type="dxa"/>
              <w:start w:w="100" w:type="dxa"/>
              <w:bottom w:w="100" w:type="dxa"/>
              <w:end w:w="100" w:type="dxa"/>
            </w:tcMar>
          </w:tcPr>
          <w:p>
            <w:pPr>
              <w:pStyle w:val="TableText"/>
            </w:pPr>
            <w:r>
              <w:t>FR-INP-008</w:t>
            </w:r>
          </w:p>
        </w:tc>
        <w:tc>
          <w:tcPr>
            <w:tcW w:type="dxa" w:w="3600"/>
            <w:vAlign w:val="center"/>
            <w:tcMar>
              <w:top w:w="100" w:type="dxa"/>
              <w:start w:w="100" w:type="dxa"/>
              <w:bottom w:w="100" w:type="dxa"/>
              <w:end w:w="100" w:type="dxa"/>
            </w:tcMar>
          </w:tcPr>
          <w:p>
            <w:pPr>
              <w:pStyle w:val="TableText"/>
            </w:pPr>
            <w:r>
              <w:t>Inspect MVP input options</w:t>
            </w:r>
          </w:p>
        </w:tc>
        <w:tc>
          <w:tcPr>
            <w:tcW w:type="dxa" w:w="2880"/>
            <w:vAlign w:val="center"/>
            <w:tcMar>
              <w:top w:w="100" w:type="dxa"/>
              <w:start w:w="100" w:type="dxa"/>
              <w:bottom w:w="100" w:type="dxa"/>
              <w:end w:w="100" w:type="dxa"/>
            </w:tcMar>
          </w:tcPr>
          <w:p>
            <w:pPr>
              <w:pStyle w:val="TableText"/>
            </w:pPr>
            <w:r>
              <w:t>Only manual entry exists; no CSV or bank synchronization controls</w:t>
            </w:r>
          </w:p>
        </w:tc>
      </w:tr>
      <w:tr>
        <w:tc>
          <w:tcPr>
            <w:tcW w:type="dxa" w:w="1584"/>
            <w:vAlign w:val="center"/>
            <w:tcMar>
              <w:top w:w="100" w:type="dxa"/>
              <w:start w:w="100" w:type="dxa"/>
              <w:bottom w:w="100" w:type="dxa"/>
              <w:end w:w="100" w:type="dxa"/>
            </w:tcMar>
          </w:tcPr>
          <w:p>
            <w:pPr>
              <w:pStyle w:val="TableText"/>
            </w:pPr>
            <w:r>
              <w:t>TC-CALC-006</w:t>
            </w:r>
          </w:p>
        </w:tc>
        <w:tc>
          <w:tcPr>
            <w:tcW w:type="dxa" w:w="1800"/>
            <w:vAlign w:val="center"/>
            <w:tcMar>
              <w:top w:w="100" w:type="dxa"/>
              <w:start w:w="100" w:type="dxa"/>
              <w:bottom w:w="100" w:type="dxa"/>
              <w:end w:w="100" w:type="dxa"/>
            </w:tcMar>
          </w:tcPr>
          <w:p>
            <w:pPr>
              <w:pStyle w:val="TableText"/>
            </w:pPr>
            <w:r>
              <w:t>FR-CALC-006</w:t>
            </w:r>
          </w:p>
        </w:tc>
        <w:tc>
          <w:tcPr>
            <w:tcW w:type="dxa" w:w="3600"/>
            <w:vAlign w:val="center"/>
            <w:tcMar>
              <w:top w:w="100" w:type="dxa"/>
              <w:start w:w="100" w:type="dxa"/>
              <w:bottom w:w="100" w:type="dxa"/>
              <w:end w:w="100" w:type="dxa"/>
            </w:tcMar>
          </w:tcPr>
          <w:p>
            <w:pPr>
              <w:pStyle w:val="TableText"/>
            </w:pPr>
            <w:r>
              <w:t>Cash 5,000; income 1,000; expense 500; reserve 500</w:t>
            </w:r>
          </w:p>
        </w:tc>
        <w:tc>
          <w:tcPr>
            <w:tcW w:type="dxa" w:w="2880"/>
            <w:vAlign w:val="center"/>
            <w:tcMar>
              <w:top w:w="100" w:type="dxa"/>
              <w:start w:w="100" w:type="dxa"/>
              <w:bottom w:w="100" w:type="dxa"/>
              <w:end w:w="100" w:type="dxa"/>
            </w:tcMar>
          </w:tcPr>
          <w:p>
            <w:pPr>
              <w:pStyle w:val="TableText"/>
            </w:pPr>
            <w:r>
              <w:t>Forecast Resources = $5,000</w:t>
            </w:r>
          </w:p>
        </w:tc>
      </w:tr>
      <w:tr>
        <w:tc>
          <w:tcPr>
            <w:tcW w:type="dxa" w:w="1584"/>
            <w:vAlign w:val="center"/>
            <w:tcMar>
              <w:top w:w="100" w:type="dxa"/>
              <w:start w:w="100" w:type="dxa"/>
              <w:bottom w:w="100" w:type="dxa"/>
              <w:end w:w="100" w:type="dxa"/>
            </w:tcMar>
          </w:tcPr>
          <w:p>
            <w:pPr>
              <w:pStyle w:val="TableText"/>
            </w:pPr>
            <w:r>
              <w:t>TC-CALC-009</w:t>
            </w:r>
          </w:p>
        </w:tc>
        <w:tc>
          <w:tcPr>
            <w:tcW w:type="dxa" w:w="1800"/>
            <w:vAlign w:val="center"/>
            <w:tcMar>
              <w:top w:w="100" w:type="dxa"/>
              <w:start w:w="100" w:type="dxa"/>
              <w:bottom w:w="100" w:type="dxa"/>
              <w:end w:w="100" w:type="dxa"/>
            </w:tcMar>
          </w:tcPr>
          <w:p>
            <w:pPr>
              <w:pStyle w:val="TableText"/>
            </w:pPr>
            <w:r>
              <w:t>FR-CALC-009</w:t>
            </w:r>
          </w:p>
        </w:tc>
        <w:tc>
          <w:tcPr>
            <w:tcW w:type="dxa" w:w="3600"/>
            <w:vAlign w:val="center"/>
            <w:tcMar>
              <w:top w:w="100" w:type="dxa"/>
              <w:start w:w="100" w:type="dxa"/>
              <w:bottom w:w="100" w:type="dxa"/>
              <w:end w:w="100" w:type="dxa"/>
            </w:tcMar>
          </w:tcPr>
          <w:p>
            <w:pPr>
              <w:pStyle w:val="TableText"/>
            </w:pPr>
            <w:r>
              <w:t>Capacity $1,000; 10 weeks</w:t>
            </w:r>
          </w:p>
        </w:tc>
        <w:tc>
          <w:tcPr>
            <w:tcW w:type="dxa" w:w="2880"/>
            <w:vAlign w:val="center"/>
            <w:tcMar>
              <w:top w:w="100" w:type="dxa"/>
              <w:start w:w="100" w:type="dxa"/>
              <w:bottom w:w="100" w:type="dxa"/>
              <w:end w:w="100" w:type="dxa"/>
            </w:tcMar>
          </w:tcPr>
          <w:p>
            <w:pPr>
              <w:pStyle w:val="TableText"/>
            </w:pPr>
            <w:r>
              <w:t>Weekly Safe-to-Spend = $100</w:t>
            </w:r>
          </w:p>
        </w:tc>
      </w:tr>
      <w:tr>
        <w:tc>
          <w:tcPr>
            <w:tcW w:type="dxa" w:w="1584"/>
            <w:vAlign w:val="center"/>
            <w:tcMar>
              <w:top w:w="100" w:type="dxa"/>
              <w:start w:w="100" w:type="dxa"/>
              <w:bottom w:w="100" w:type="dxa"/>
              <w:end w:w="100" w:type="dxa"/>
            </w:tcMar>
          </w:tcPr>
          <w:p>
            <w:pPr>
              <w:pStyle w:val="TableText"/>
            </w:pPr>
            <w:r>
              <w:t>TC-CALC-010</w:t>
            </w:r>
          </w:p>
        </w:tc>
        <w:tc>
          <w:tcPr>
            <w:tcW w:type="dxa" w:w="1800"/>
            <w:vAlign w:val="center"/>
            <w:tcMar>
              <w:top w:w="100" w:type="dxa"/>
              <w:start w:w="100" w:type="dxa"/>
              <w:bottom w:w="100" w:type="dxa"/>
              <w:end w:w="100" w:type="dxa"/>
            </w:tcMar>
          </w:tcPr>
          <w:p>
            <w:pPr>
              <w:pStyle w:val="TableText"/>
            </w:pPr>
            <w:r>
              <w:t>FR-CALC-010</w:t>
            </w:r>
          </w:p>
        </w:tc>
        <w:tc>
          <w:tcPr>
            <w:tcW w:type="dxa" w:w="3600"/>
            <w:vAlign w:val="center"/>
            <w:tcMar>
              <w:top w:w="100" w:type="dxa"/>
              <w:start w:w="100" w:type="dxa"/>
              <w:bottom w:w="100" w:type="dxa"/>
              <w:end w:w="100" w:type="dxa"/>
            </w:tcMar>
          </w:tcPr>
          <w:p>
            <w:pPr>
              <w:pStyle w:val="TableText"/>
            </w:pPr>
            <w:r>
              <w:t>Capacity = 999 cents; 4 weeks</w:t>
            </w:r>
          </w:p>
        </w:tc>
        <w:tc>
          <w:tcPr>
            <w:tcW w:type="dxa" w:w="2880"/>
            <w:vAlign w:val="center"/>
            <w:tcMar>
              <w:top w:w="100" w:type="dxa"/>
              <w:start w:w="100" w:type="dxa"/>
              <w:bottom w:w="100" w:type="dxa"/>
              <w:end w:w="100" w:type="dxa"/>
            </w:tcMar>
          </w:tcPr>
          <w:p>
            <w:pPr>
              <w:pStyle w:val="TableText"/>
            </w:pPr>
            <w:r>
              <w:t>Final allowance = $2, never rounded upward</w:t>
            </w:r>
          </w:p>
        </w:tc>
      </w:tr>
      <w:tr>
        <w:tc>
          <w:tcPr>
            <w:tcW w:type="dxa" w:w="1584"/>
            <w:vAlign w:val="center"/>
            <w:tcMar>
              <w:top w:w="100" w:type="dxa"/>
              <w:start w:w="100" w:type="dxa"/>
              <w:bottom w:w="100" w:type="dxa"/>
              <w:end w:w="100" w:type="dxa"/>
            </w:tcMar>
          </w:tcPr>
          <w:p>
            <w:pPr>
              <w:pStyle w:val="TableText"/>
            </w:pPr>
            <w:r>
              <w:t>TC-CALC-013</w:t>
            </w:r>
          </w:p>
        </w:tc>
        <w:tc>
          <w:tcPr>
            <w:tcW w:type="dxa" w:w="1800"/>
            <w:vAlign w:val="center"/>
            <w:tcMar>
              <w:top w:w="100" w:type="dxa"/>
              <w:start w:w="100" w:type="dxa"/>
              <w:bottom w:w="100" w:type="dxa"/>
              <w:end w:w="100" w:type="dxa"/>
            </w:tcMar>
          </w:tcPr>
          <w:p>
            <w:pPr>
              <w:pStyle w:val="TableText"/>
            </w:pPr>
            <w:r>
              <w:t>FR-CALC-013</w:t>
            </w:r>
          </w:p>
        </w:tc>
        <w:tc>
          <w:tcPr>
            <w:tcW w:type="dxa" w:w="3600"/>
            <w:vAlign w:val="center"/>
            <w:tcMar>
              <w:top w:w="100" w:type="dxa"/>
              <w:start w:w="100" w:type="dxa"/>
              <w:bottom w:w="100" w:type="dxa"/>
              <w:end w:w="100" w:type="dxa"/>
            </w:tcMar>
          </w:tcPr>
          <w:p>
            <w:pPr>
              <w:pStyle w:val="TableText"/>
            </w:pPr>
            <w:r>
              <w:t>Positive projected shortfall</w:t>
            </w:r>
          </w:p>
        </w:tc>
        <w:tc>
          <w:tcPr>
            <w:tcW w:type="dxa" w:w="2880"/>
            <w:vAlign w:val="center"/>
            <w:tcMar>
              <w:top w:w="100" w:type="dxa"/>
              <w:start w:w="100" w:type="dxa"/>
              <w:bottom w:w="100" w:type="dxa"/>
              <w:end w:w="100" w:type="dxa"/>
            </w:tcMar>
          </w:tcPr>
          <w:p>
            <w:pPr>
              <w:pStyle w:val="TableText"/>
            </w:pPr>
            <w:r>
              <w:t>Status = At Risk before pace comparison</w:t>
            </w:r>
          </w:p>
        </w:tc>
      </w:tr>
      <w:tr>
        <w:tc>
          <w:tcPr>
            <w:tcW w:type="dxa" w:w="1584"/>
            <w:vAlign w:val="center"/>
            <w:tcMar>
              <w:top w:w="100" w:type="dxa"/>
              <w:start w:w="100" w:type="dxa"/>
              <w:bottom w:w="100" w:type="dxa"/>
              <w:end w:w="100" w:type="dxa"/>
            </w:tcMar>
          </w:tcPr>
          <w:p>
            <w:pPr>
              <w:pStyle w:val="TableText"/>
            </w:pPr>
            <w:r>
              <w:t>TC-CALC-015</w:t>
            </w:r>
          </w:p>
        </w:tc>
        <w:tc>
          <w:tcPr>
            <w:tcW w:type="dxa" w:w="1800"/>
            <w:vAlign w:val="center"/>
            <w:tcMar>
              <w:top w:w="100" w:type="dxa"/>
              <w:start w:w="100" w:type="dxa"/>
              <w:bottom w:w="100" w:type="dxa"/>
              <w:end w:w="100" w:type="dxa"/>
            </w:tcMar>
          </w:tcPr>
          <w:p>
            <w:pPr>
              <w:pStyle w:val="TableText"/>
            </w:pPr>
            <w:r>
              <w:t>FR-CALC-015</w:t>
            </w:r>
          </w:p>
        </w:tc>
        <w:tc>
          <w:tcPr>
            <w:tcW w:type="dxa" w:w="3600"/>
            <w:vAlign w:val="center"/>
            <w:tcMar>
              <w:top w:w="100" w:type="dxa"/>
              <w:start w:w="100" w:type="dxa"/>
              <w:bottom w:w="100" w:type="dxa"/>
              <w:end w:w="100" w:type="dxa"/>
            </w:tcMar>
          </w:tcPr>
          <w:p>
            <w:pPr>
              <w:pStyle w:val="TableText"/>
            </w:pPr>
            <w:r>
              <w:t>Replay identical normalized inputs</w:t>
            </w:r>
          </w:p>
        </w:tc>
        <w:tc>
          <w:tcPr>
            <w:tcW w:type="dxa" w:w="2880"/>
            <w:vAlign w:val="center"/>
            <w:tcMar>
              <w:top w:w="100" w:type="dxa"/>
              <w:start w:w="100" w:type="dxa"/>
              <w:bottom w:w="100" w:type="dxa"/>
              <w:end w:w="100" w:type="dxa"/>
            </w:tcMar>
          </w:tcPr>
          <w:p>
            <w:pPr>
              <w:pStyle w:val="TableText"/>
            </w:pPr>
            <w:r>
              <w:t>Identical result and formula_version = pace-v1</w:t>
            </w:r>
          </w:p>
        </w:tc>
      </w:tr>
      <w:tr>
        <w:tc>
          <w:tcPr>
            <w:tcW w:type="dxa" w:w="1584"/>
            <w:vAlign w:val="center"/>
            <w:tcMar>
              <w:top w:w="100" w:type="dxa"/>
              <w:start w:w="100" w:type="dxa"/>
              <w:bottom w:w="100" w:type="dxa"/>
              <w:end w:w="100" w:type="dxa"/>
            </w:tcMar>
          </w:tcPr>
          <w:p>
            <w:pPr>
              <w:pStyle w:val="TableText"/>
            </w:pPr>
            <w:r>
              <w:t>TC-SNAP-003</w:t>
            </w:r>
          </w:p>
        </w:tc>
        <w:tc>
          <w:tcPr>
            <w:tcW w:type="dxa" w:w="1800"/>
            <w:vAlign w:val="center"/>
            <w:tcMar>
              <w:top w:w="100" w:type="dxa"/>
              <w:start w:w="100" w:type="dxa"/>
              <w:bottom w:w="100" w:type="dxa"/>
              <w:end w:w="100" w:type="dxa"/>
            </w:tcMar>
          </w:tcPr>
          <w:p>
            <w:pPr>
              <w:pStyle w:val="TableText"/>
            </w:pPr>
            <w:r>
              <w:t>FR-SNAP-003</w:t>
            </w:r>
          </w:p>
        </w:tc>
        <w:tc>
          <w:tcPr>
            <w:tcW w:type="dxa" w:w="3600"/>
            <w:vAlign w:val="center"/>
            <w:tcMar>
              <w:top w:w="100" w:type="dxa"/>
              <w:start w:w="100" w:type="dxa"/>
              <w:bottom w:w="100" w:type="dxa"/>
              <w:end w:w="100" w:type="dxa"/>
            </w:tcMar>
          </w:tcPr>
          <w:p>
            <w:pPr>
              <w:pStyle w:val="TableText"/>
            </w:pPr>
            <w:r>
              <w:t>Attempt ordinary update/delete of snapshot</w:t>
            </w:r>
          </w:p>
        </w:tc>
        <w:tc>
          <w:tcPr>
            <w:tcW w:type="dxa" w:w="2880"/>
            <w:vAlign w:val="center"/>
            <w:tcMar>
              <w:top w:w="100" w:type="dxa"/>
              <w:start w:w="100" w:type="dxa"/>
              <w:bottom w:w="100" w:type="dxa"/>
              <w:end w:w="100" w:type="dxa"/>
            </w:tcMar>
          </w:tcPr>
          <w:p>
            <w:pPr>
              <w:pStyle w:val="TableText"/>
            </w:pPr>
            <w:r>
              <w:t>Operation denied; snapshot remains unchanged</w:t>
            </w:r>
          </w:p>
        </w:tc>
      </w:tr>
      <w:tr>
        <w:tc>
          <w:tcPr>
            <w:tcW w:type="dxa" w:w="1584"/>
            <w:vAlign w:val="center"/>
            <w:tcMar>
              <w:top w:w="100" w:type="dxa"/>
              <w:start w:w="100" w:type="dxa"/>
              <w:bottom w:w="100" w:type="dxa"/>
              <w:end w:w="100" w:type="dxa"/>
            </w:tcMar>
          </w:tcPr>
          <w:p>
            <w:pPr>
              <w:pStyle w:val="TableText"/>
            </w:pPr>
            <w:r>
              <w:t>TC-SNAP-004</w:t>
            </w:r>
          </w:p>
        </w:tc>
        <w:tc>
          <w:tcPr>
            <w:tcW w:type="dxa" w:w="1800"/>
            <w:vAlign w:val="center"/>
            <w:tcMar>
              <w:top w:w="100" w:type="dxa"/>
              <w:start w:w="100" w:type="dxa"/>
              <w:bottom w:w="100" w:type="dxa"/>
              <w:end w:w="100" w:type="dxa"/>
            </w:tcMar>
          </w:tcPr>
          <w:p>
            <w:pPr>
              <w:pStyle w:val="TableText"/>
            </w:pPr>
            <w:r>
              <w:t>FR-SNAP-004</w:t>
            </w:r>
          </w:p>
        </w:tc>
        <w:tc>
          <w:tcPr>
            <w:tcW w:type="dxa" w:w="3600"/>
            <w:vAlign w:val="center"/>
            <w:tcMar>
              <w:top w:w="100" w:type="dxa"/>
              <w:start w:w="100" w:type="dxa"/>
              <w:bottom w:w="100" w:type="dxa"/>
              <w:end w:w="100" w:type="dxa"/>
            </w:tcMar>
          </w:tcPr>
          <w:p>
            <w:pPr>
              <w:pStyle w:val="TableText"/>
            </w:pPr>
            <w:r>
              <w:t>Simulate persistence failure</w:t>
            </w:r>
          </w:p>
        </w:tc>
        <w:tc>
          <w:tcPr>
            <w:tcW w:type="dxa" w:w="2880"/>
            <w:vAlign w:val="center"/>
            <w:tcMar>
              <w:top w:w="100" w:type="dxa"/>
              <w:start w:w="100" w:type="dxa"/>
              <w:bottom w:w="100" w:type="dxa"/>
              <w:end w:w="100" w:type="dxa"/>
            </w:tcMar>
          </w:tcPr>
          <w:p>
            <w:pPr>
              <w:pStyle w:val="TableText"/>
            </w:pPr>
            <w:r>
              <w:t>Both input and snapshot changes roll back</w:t>
            </w:r>
          </w:p>
        </w:tc>
      </w:tr>
      <w:tr>
        <w:tc>
          <w:tcPr>
            <w:tcW w:type="dxa" w:w="1584"/>
            <w:vAlign w:val="center"/>
            <w:tcMar>
              <w:top w:w="100" w:type="dxa"/>
              <w:start w:w="100" w:type="dxa"/>
              <w:bottom w:w="100" w:type="dxa"/>
              <w:end w:w="100" w:type="dxa"/>
            </w:tcMar>
          </w:tcPr>
          <w:p>
            <w:pPr>
              <w:pStyle w:val="TableText"/>
            </w:pPr>
            <w:r>
              <w:t>TC-WEEK-002</w:t>
            </w:r>
          </w:p>
        </w:tc>
        <w:tc>
          <w:tcPr>
            <w:tcW w:type="dxa" w:w="1800"/>
            <w:vAlign w:val="center"/>
            <w:tcMar>
              <w:top w:w="100" w:type="dxa"/>
              <w:start w:w="100" w:type="dxa"/>
              <w:bottom w:w="100" w:type="dxa"/>
              <w:end w:w="100" w:type="dxa"/>
            </w:tcMar>
          </w:tcPr>
          <w:p>
            <w:pPr>
              <w:pStyle w:val="TableText"/>
            </w:pPr>
            <w:r>
              <w:t>FR-WEEK-002</w:t>
            </w:r>
          </w:p>
        </w:tc>
        <w:tc>
          <w:tcPr>
            <w:tcW w:type="dxa" w:w="3600"/>
            <w:vAlign w:val="center"/>
            <w:tcMar>
              <w:top w:w="100" w:type="dxa"/>
              <w:start w:w="100" w:type="dxa"/>
              <w:bottom w:w="100" w:type="dxa"/>
              <w:end w:w="100" w:type="dxa"/>
            </w:tcMar>
          </w:tcPr>
          <w:p>
            <w:pPr>
              <w:pStyle w:val="TableText"/>
            </w:pPr>
            <w:r>
              <w:t>Recalculate during same week</w:t>
            </w:r>
          </w:p>
        </w:tc>
        <w:tc>
          <w:tcPr>
            <w:tcW w:type="dxa" w:w="2880"/>
            <w:vAlign w:val="center"/>
            <w:tcMar>
              <w:top w:w="100" w:type="dxa"/>
              <w:start w:w="100" w:type="dxa"/>
              <w:bottom w:w="100" w:type="dxa"/>
              <w:end w:w="100" w:type="dxa"/>
            </w:tcMar>
          </w:tcPr>
          <w:p>
            <w:pPr>
              <w:pStyle w:val="TableText"/>
            </w:pPr>
            <w:r>
              <w:t>Weekly opening remains unchanged</w:t>
            </w:r>
          </w:p>
        </w:tc>
      </w:tr>
      <w:tr>
        <w:tc>
          <w:tcPr>
            <w:tcW w:type="dxa" w:w="1584"/>
            <w:vAlign w:val="center"/>
            <w:tcMar>
              <w:top w:w="100" w:type="dxa"/>
              <w:start w:w="100" w:type="dxa"/>
              <w:bottom w:w="100" w:type="dxa"/>
              <w:end w:w="100" w:type="dxa"/>
            </w:tcMar>
          </w:tcPr>
          <w:p>
            <w:pPr>
              <w:pStyle w:val="TableText"/>
            </w:pPr>
            <w:r>
              <w:t>TC-WEEK-004</w:t>
            </w:r>
          </w:p>
        </w:tc>
        <w:tc>
          <w:tcPr>
            <w:tcW w:type="dxa" w:w="1800"/>
            <w:vAlign w:val="center"/>
            <w:tcMar>
              <w:top w:w="100" w:type="dxa"/>
              <w:start w:w="100" w:type="dxa"/>
              <w:bottom w:w="100" w:type="dxa"/>
              <w:end w:w="100" w:type="dxa"/>
            </w:tcMar>
          </w:tcPr>
          <w:p>
            <w:pPr>
              <w:pStyle w:val="TableText"/>
            </w:pPr>
            <w:r>
              <w:t>FR-WEEK-004</w:t>
            </w:r>
          </w:p>
        </w:tc>
        <w:tc>
          <w:tcPr>
            <w:tcW w:type="dxa" w:w="3600"/>
            <w:vAlign w:val="center"/>
            <w:tcMar>
              <w:top w:w="100" w:type="dxa"/>
              <w:start w:w="100" w:type="dxa"/>
              <w:bottom w:w="100" w:type="dxa"/>
              <w:end w:w="100" w:type="dxa"/>
            </w:tcMar>
          </w:tcPr>
          <w:p>
            <w:pPr>
              <w:pStyle w:val="TableText"/>
            </w:pPr>
            <w:r>
              <w:t>Spend more than opening allowance</w:t>
            </w:r>
          </w:p>
        </w:tc>
        <w:tc>
          <w:tcPr>
            <w:tcW w:type="dxa" w:w="2880"/>
            <w:vAlign w:val="center"/>
            <w:tcMar>
              <w:top w:w="100" w:type="dxa"/>
              <w:start w:w="100" w:type="dxa"/>
              <w:bottom w:w="100" w:type="dxa"/>
              <w:end w:w="100" w:type="dxa"/>
            </w:tcMar>
          </w:tcPr>
          <w:p>
            <w:pPr>
              <w:pStyle w:val="TableText"/>
            </w:pPr>
            <w:r>
              <w:t>Negative remaining amount and warning displayed</w:t>
            </w:r>
          </w:p>
        </w:tc>
      </w:tr>
      <w:tr>
        <w:tc>
          <w:tcPr>
            <w:tcW w:type="dxa" w:w="1584"/>
            <w:vAlign w:val="center"/>
            <w:tcMar>
              <w:top w:w="100" w:type="dxa"/>
              <w:start w:w="100" w:type="dxa"/>
              <w:bottom w:w="100" w:type="dxa"/>
              <w:end w:w="100" w:type="dxa"/>
            </w:tcMar>
          </w:tcPr>
          <w:p>
            <w:pPr>
              <w:pStyle w:val="TableText"/>
            </w:pPr>
            <w:r>
              <w:t>TC-DASH-006</w:t>
            </w:r>
          </w:p>
        </w:tc>
        <w:tc>
          <w:tcPr>
            <w:tcW w:type="dxa" w:w="1800"/>
            <w:vAlign w:val="center"/>
            <w:tcMar>
              <w:top w:w="100" w:type="dxa"/>
              <w:start w:w="100" w:type="dxa"/>
              <w:bottom w:w="100" w:type="dxa"/>
              <w:end w:w="100" w:type="dxa"/>
            </w:tcMar>
          </w:tcPr>
          <w:p>
            <w:pPr>
              <w:pStyle w:val="TableText"/>
            </w:pPr>
            <w:r>
              <w:t>FR-DASH-006</w:t>
            </w:r>
          </w:p>
        </w:tc>
        <w:tc>
          <w:tcPr>
            <w:tcW w:type="dxa" w:w="3600"/>
            <w:vAlign w:val="center"/>
            <w:tcMar>
              <w:top w:w="100" w:type="dxa"/>
              <w:start w:w="100" w:type="dxa"/>
              <w:bottom w:w="100" w:type="dxa"/>
              <w:end w:w="100" w:type="dxa"/>
            </w:tcMar>
          </w:tcPr>
          <w:p>
            <w:pPr>
              <w:pStyle w:val="TableText"/>
            </w:pPr>
            <w:r>
              <w:t>Open Calculation Details</w:t>
            </w:r>
          </w:p>
        </w:tc>
        <w:tc>
          <w:tcPr>
            <w:tcW w:type="dxa" w:w="2880"/>
            <w:vAlign w:val="center"/>
            <w:tcMar>
              <w:top w:w="100" w:type="dxa"/>
              <w:start w:w="100" w:type="dxa"/>
              <w:bottom w:w="100" w:type="dxa"/>
              <w:end w:w="100" w:type="dxa"/>
            </w:tcMar>
          </w:tcPr>
          <w:p>
            <w:pPr>
              <w:pStyle w:val="TableText"/>
            </w:pPr>
            <w:r>
              <w:t>All pace-v1 inputs/outputs, snapshot ID and formula version displayed</w:t>
            </w:r>
          </w:p>
        </w:tc>
      </w:tr>
      <w:tr>
        <w:tc>
          <w:tcPr>
            <w:tcW w:type="dxa" w:w="1584"/>
            <w:vAlign w:val="center"/>
            <w:tcMar>
              <w:top w:w="100" w:type="dxa"/>
              <w:start w:w="100" w:type="dxa"/>
              <w:bottom w:w="100" w:type="dxa"/>
              <w:end w:w="100" w:type="dxa"/>
            </w:tcMar>
          </w:tcPr>
          <w:p>
            <w:pPr>
              <w:pStyle w:val="TableText"/>
            </w:pPr>
            <w:r>
              <w:t>TC-DATA-002</w:t>
            </w:r>
          </w:p>
        </w:tc>
        <w:tc>
          <w:tcPr>
            <w:tcW w:type="dxa" w:w="1800"/>
            <w:vAlign w:val="center"/>
            <w:tcMar>
              <w:top w:w="100" w:type="dxa"/>
              <w:start w:w="100" w:type="dxa"/>
              <w:bottom w:w="100" w:type="dxa"/>
              <w:end w:w="100" w:type="dxa"/>
            </w:tcMar>
          </w:tcPr>
          <w:p>
            <w:pPr>
              <w:pStyle w:val="TableText"/>
            </w:pPr>
            <w:r>
              <w:t>FR-DATA-002</w:t>
            </w:r>
          </w:p>
        </w:tc>
        <w:tc>
          <w:tcPr>
            <w:tcW w:type="dxa" w:w="3600"/>
            <w:vAlign w:val="center"/>
            <w:tcMar>
              <w:top w:w="100" w:type="dxa"/>
              <w:start w:w="100" w:type="dxa"/>
              <w:bottom w:w="100" w:type="dxa"/>
              <w:end w:w="100" w:type="dxa"/>
            </w:tcMar>
          </w:tcPr>
          <w:p>
            <w:pPr>
              <w:pStyle w:val="TableText"/>
            </w:pPr>
            <w:r>
              <w:t>Request export</w:t>
            </w:r>
          </w:p>
        </w:tc>
        <w:tc>
          <w:tcPr>
            <w:tcW w:type="dxa" w:w="2880"/>
            <w:vAlign w:val="center"/>
            <w:tcMar>
              <w:top w:w="100" w:type="dxa"/>
              <w:start w:w="100" w:type="dxa"/>
              <w:bottom w:w="100" w:type="dxa"/>
              <w:end w:w="100" w:type="dxa"/>
            </w:tcMar>
          </w:tcPr>
          <w:p>
            <w:pPr>
              <w:pStyle w:val="TableText"/>
            </w:pPr>
            <w:r>
              <w:t>Export accessible only to requester using single-use 24-hour link</w:t>
            </w:r>
          </w:p>
        </w:tc>
      </w:tr>
      <w:tr>
        <w:tc>
          <w:tcPr>
            <w:tcW w:type="dxa" w:w="1584"/>
            <w:vAlign w:val="center"/>
            <w:tcMar>
              <w:top w:w="100" w:type="dxa"/>
              <w:start w:w="100" w:type="dxa"/>
              <w:bottom w:w="100" w:type="dxa"/>
              <w:end w:w="100" w:type="dxa"/>
            </w:tcMar>
          </w:tcPr>
          <w:p>
            <w:pPr>
              <w:pStyle w:val="TableText"/>
            </w:pPr>
            <w:r>
              <w:t>TC-ERR-001</w:t>
            </w:r>
          </w:p>
        </w:tc>
        <w:tc>
          <w:tcPr>
            <w:tcW w:type="dxa" w:w="1800"/>
            <w:vAlign w:val="center"/>
            <w:tcMar>
              <w:top w:w="100" w:type="dxa"/>
              <w:start w:w="100" w:type="dxa"/>
              <w:bottom w:w="100" w:type="dxa"/>
              <w:end w:w="100" w:type="dxa"/>
            </w:tcMar>
          </w:tcPr>
          <w:p>
            <w:pPr>
              <w:pStyle w:val="TableText"/>
            </w:pPr>
            <w:r>
              <w:t>FR-ERR-001</w:t>
            </w:r>
          </w:p>
        </w:tc>
        <w:tc>
          <w:tcPr>
            <w:tcW w:type="dxa" w:w="3600"/>
            <w:vAlign w:val="center"/>
            <w:tcMar>
              <w:top w:w="100" w:type="dxa"/>
              <w:start w:w="100" w:type="dxa"/>
              <w:bottom w:w="100" w:type="dxa"/>
              <w:end w:w="100" w:type="dxa"/>
            </w:tcMar>
          </w:tcPr>
          <w:p>
            <w:pPr>
              <w:pStyle w:val="TableText"/>
            </w:pPr>
            <w:r>
              <w:t>Submit multiple invalid fields</w:t>
            </w:r>
          </w:p>
        </w:tc>
        <w:tc>
          <w:tcPr>
            <w:tcW w:type="dxa" w:w="2880"/>
            <w:vAlign w:val="center"/>
            <w:tcMar>
              <w:top w:w="100" w:type="dxa"/>
              <w:start w:w="100" w:type="dxa"/>
              <w:bottom w:w="100" w:type="dxa"/>
              <w:end w:w="100" w:type="dxa"/>
            </w:tcMar>
          </w:tcPr>
          <w:p>
            <w:pPr>
              <w:pStyle w:val="TableText"/>
            </w:pPr>
            <w:r>
              <w:t>Errors identify all invalid fields; no snapshot is created</w:t>
            </w:r>
          </w:p>
        </w:tc>
      </w:tr>
      <w:tr>
        <w:tc>
          <w:tcPr>
            <w:tcW w:type="dxa" w:w="1584"/>
            <w:vAlign w:val="center"/>
            <w:tcMar>
              <w:top w:w="100" w:type="dxa"/>
              <w:start w:w="100" w:type="dxa"/>
              <w:bottom w:w="100" w:type="dxa"/>
              <w:end w:w="100" w:type="dxa"/>
            </w:tcMar>
          </w:tcPr>
          <w:p>
            <w:pPr>
              <w:pStyle w:val="TableText"/>
            </w:pPr>
            <w:r>
              <w:t>TC-AI-001</w:t>
            </w:r>
          </w:p>
        </w:tc>
        <w:tc>
          <w:tcPr>
            <w:tcW w:type="dxa" w:w="1800"/>
            <w:vAlign w:val="center"/>
            <w:tcMar>
              <w:top w:w="100" w:type="dxa"/>
              <w:start w:w="100" w:type="dxa"/>
              <w:bottom w:w="100" w:type="dxa"/>
              <w:end w:w="100" w:type="dxa"/>
            </w:tcMar>
          </w:tcPr>
          <w:p>
            <w:pPr>
              <w:pStyle w:val="TableText"/>
            </w:pPr>
            <w:r>
              <w:t>FR-AI-001</w:t>
            </w:r>
          </w:p>
        </w:tc>
        <w:tc>
          <w:tcPr>
            <w:tcW w:type="dxa" w:w="3600"/>
            <w:vAlign w:val="center"/>
            <w:tcMar>
              <w:top w:w="100" w:type="dxa"/>
              <w:start w:w="100" w:type="dxa"/>
              <w:bottom w:w="100" w:type="dxa"/>
              <w:end w:w="100" w:type="dxa"/>
            </w:tcMar>
          </w:tcPr>
          <w:p>
            <w:pPr>
              <w:pStyle w:val="TableText"/>
            </w:pPr>
            <w:r>
              <w:t>Run MVP with AI flag disabled</w:t>
            </w:r>
          </w:p>
        </w:tc>
        <w:tc>
          <w:tcPr>
            <w:tcW w:type="dxa" w:w="2880"/>
            <w:vAlign w:val="center"/>
            <w:tcMar>
              <w:top w:w="100" w:type="dxa"/>
              <w:start w:w="100" w:type="dxa"/>
              <w:bottom w:w="100" w:type="dxa"/>
              <w:end w:w="100" w:type="dxa"/>
            </w:tcMar>
          </w:tcPr>
          <w:p>
            <w:pPr>
              <w:pStyle w:val="TableText"/>
            </w:pPr>
            <w:r>
              <w:t>AI Future page appears and no external AI request occurs</w:t>
            </w:r>
          </w:p>
        </w:tc>
      </w:tr>
      <w:tr>
        <w:tc>
          <w:tcPr>
            <w:tcW w:type="dxa" w:w="1584"/>
            <w:vAlign w:val="center"/>
            <w:tcMar>
              <w:top w:w="100" w:type="dxa"/>
              <w:start w:w="100" w:type="dxa"/>
              <w:bottom w:w="100" w:type="dxa"/>
              <w:end w:w="100" w:type="dxa"/>
            </w:tcMar>
          </w:tcPr>
          <w:p>
            <w:pPr>
              <w:pStyle w:val="TableText"/>
            </w:pPr>
            <w:r>
              <w:t>PT-001</w:t>
            </w:r>
          </w:p>
        </w:tc>
        <w:tc>
          <w:tcPr>
            <w:tcW w:type="dxa" w:w="1800"/>
            <w:vAlign w:val="center"/>
            <w:tcMar>
              <w:top w:w="100" w:type="dxa"/>
              <w:start w:w="100" w:type="dxa"/>
              <w:bottom w:w="100" w:type="dxa"/>
              <w:end w:w="100" w:type="dxa"/>
            </w:tcMar>
          </w:tcPr>
          <w:p>
            <w:pPr>
              <w:pStyle w:val="TableText"/>
            </w:pPr>
            <w:r>
              <w:t>NFR-PERF-001</w:t>
            </w:r>
          </w:p>
        </w:tc>
        <w:tc>
          <w:tcPr>
            <w:tcW w:type="dxa" w:w="3600"/>
            <w:vAlign w:val="center"/>
            <w:tcMar>
              <w:top w:w="100" w:type="dxa"/>
              <w:start w:w="100" w:type="dxa"/>
              <w:bottom w:w="100" w:type="dxa"/>
              <w:end w:w="100" w:type="dxa"/>
            </w:tcMar>
          </w:tcPr>
          <w:p>
            <w:pPr>
              <w:pStyle w:val="TableText"/>
            </w:pPr>
            <w:r>
              <w:t>50 concurrent valid sessions</w:t>
            </w:r>
          </w:p>
        </w:tc>
        <w:tc>
          <w:tcPr>
            <w:tcW w:type="dxa" w:w="2880"/>
            <w:vAlign w:val="center"/>
            <w:tcMar>
              <w:top w:w="100" w:type="dxa"/>
              <w:start w:w="100" w:type="dxa"/>
              <w:bottom w:w="100" w:type="dxa"/>
              <w:end w:w="100" w:type="dxa"/>
            </w:tcMar>
          </w:tcPr>
          <w:p>
            <w:pPr>
              <w:pStyle w:val="TableText"/>
            </w:pPr>
            <w:r>
              <w:t>95% &lt;=2 sec and 99% &lt;=4 sec</w:t>
            </w:r>
          </w:p>
        </w:tc>
      </w:tr>
      <w:tr>
        <w:tc>
          <w:tcPr>
            <w:tcW w:type="dxa" w:w="1584"/>
            <w:vAlign w:val="center"/>
            <w:tcMar>
              <w:top w:w="100" w:type="dxa"/>
              <w:start w:w="100" w:type="dxa"/>
              <w:bottom w:w="100" w:type="dxa"/>
              <w:end w:w="100" w:type="dxa"/>
            </w:tcMar>
          </w:tcPr>
          <w:p>
            <w:pPr>
              <w:pStyle w:val="TableText"/>
            </w:pPr>
            <w:r>
              <w:t>RT-001</w:t>
            </w:r>
          </w:p>
        </w:tc>
        <w:tc>
          <w:tcPr>
            <w:tcW w:type="dxa" w:w="1800"/>
            <w:vAlign w:val="center"/>
            <w:tcMar>
              <w:top w:w="100" w:type="dxa"/>
              <w:start w:w="100" w:type="dxa"/>
              <w:bottom w:w="100" w:type="dxa"/>
              <w:end w:w="100" w:type="dxa"/>
            </w:tcMar>
          </w:tcPr>
          <w:p>
            <w:pPr>
              <w:pStyle w:val="TableText"/>
            </w:pPr>
            <w:r>
              <w:t>NFR-REL-001</w:t>
            </w:r>
          </w:p>
        </w:tc>
        <w:tc>
          <w:tcPr>
            <w:tcW w:type="dxa" w:w="3600"/>
            <w:vAlign w:val="center"/>
            <w:tcMar>
              <w:top w:w="100" w:type="dxa"/>
              <w:start w:w="100" w:type="dxa"/>
              <w:bottom w:w="100" w:type="dxa"/>
              <w:end w:w="100" w:type="dxa"/>
            </w:tcMar>
          </w:tcPr>
          <w:p>
            <w:pPr>
              <w:pStyle w:val="TableText"/>
            </w:pPr>
            <w:r>
              <w:t>Inject failure during input/snapshot transaction</w:t>
            </w:r>
          </w:p>
        </w:tc>
        <w:tc>
          <w:tcPr>
            <w:tcW w:type="dxa" w:w="2880"/>
            <w:vAlign w:val="center"/>
            <w:tcMar>
              <w:top w:w="100" w:type="dxa"/>
              <w:start w:w="100" w:type="dxa"/>
              <w:bottom w:w="100" w:type="dxa"/>
              <w:end w:w="100" w:type="dxa"/>
            </w:tcMar>
          </w:tcPr>
          <w:p>
            <w:pPr>
              <w:pStyle w:val="TableText"/>
            </w:pPr>
            <w:r>
              <w:t>Zero partial commits</w:t>
            </w:r>
          </w:p>
        </w:tc>
      </w:tr>
      <w:tr>
        <w:tc>
          <w:tcPr>
            <w:tcW w:type="dxa" w:w="1584"/>
            <w:vAlign w:val="center"/>
            <w:tcMar>
              <w:top w:w="100" w:type="dxa"/>
              <w:start w:w="100" w:type="dxa"/>
              <w:bottom w:w="100" w:type="dxa"/>
              <w:end w:w="100" w:type="dxa"/>
            </w:tcMar>
          </w:tcPr>
          <w:p>
            <w:pPr>
              <w:pStyle w:val="TableText"/>
            </w:pPr>
            <w:r>
              <w:t>ST-005</w:t>
            </w:r>
          </w:p>
        </w:tc>
        <w:tc>
          <w:tcPr>
            <w:tcW w:type="dxa" w:w="1800"/>
            <w:vAlign w:val="center"/>
            <w:tcMar>
              <w:top w:w="100" w:type="dxa"/>
              <w:start w:w="100" w:type="dxa"/>
              <w:bottom w:w="100" w:type="dxa"/>
              <w:end w:w="100" w:type="dxa"/>
            </w:tcMar>
          </w:tcPr>
          <w:p>
            <w:pPr>
              <w:pStyle w:val="TableText"/>
            </w:pPr>
            <w:r>
              <w:t>NFR-SEC-005</w:t>
            </w:r>
          </w:p>
        </w:tc>
        <w:tc>
          <w:tcPr>
            <w:tcW w:type="dxa" w:w="3600"/>
            <w:vAlign w:val="center"/>
            <w:tcMar>
              <w:top w:w="100" w:type="dxa"/>
              <w:start w:w="100" w:type="dxa"/>
              <w:bottom w:w="100" w:type="dxa"/>
              <w:end w:w="100" w:type="dxa"/>
            </w:tcMar>
          </w:tcPr>
          <w:p>
            <w:pPr>
              <w:pStyle w:val="TableText"/>
            </w:pPr>
            <w:r>
              <w:t>Attempt cross-user resource access</w:t>
            </w:r>
          </w:p>
        </w:tc>
        <w:tc>
          <w:tcPr>
            <w:tcW w:type="dxa" w:w="2880"/>
            <w:vAlign w:val="center"/>
            <w:tcMar>
              <w:top w:w="100" w:type="dxa"/>
              <w:start w:w="100" w:type="dxa"/>
              <w:bottom w:w="100" w:type="dxa"/>
              <w:end w:w="100" w:type="dxa"/>
            </w:tcMar>
          </w:tcPr>
          <w:p>
            <w:pPr>
              <w:pStyle w:val="TableText"/>
            </w:pPr>
            <w:r>
              <w:t>100% unauthorized access attempts denied</w:t>
            </w:r>
          </w:p>
        </w:tc>
      </w:tr>
      <w:tr>
        <w:tc>
          <w:tcPr>
            <w:tcW w:type="dxa" w:w="1584"/>
            <w:vAlign w:val="center"/>
            <w:tcMar>
              <w:top w:w="100" w:type="dxa"/>
              <w:start w:w="100" w:type="dxa"/>
              <w:bottom w:w="100" w:type="dxa"/>
              <w:end w:w="100" w:type="dxa"/>
            </w:tcMar>
          </w:tcPr>
          <w:p>
            <w:pPr>
              <w:pStyle w:val="TableText"/>
            </w:pPr>
            <w:r>
              <w:t>ST-006</w:t>
            </w:r>
          </w:p>
        </w:tc>
        <w:tc>
          <w:tcPr>
            <w:tcW w:type="dxa" w:w="1800"/>
            <w:vAlign w:val="center"/>
            <w:tcMar>
              <w:top w:w="100" w:type="dxa"/>
              <w:start w:w="100" w:type="dxa"/>
              <w:bottom w:w="100" w:type="dxa"/>
              <w:end w:w="100" w:type="dxa"/>
            </w:tcMar>
          </w:tcPr>
          <w:p>
            <w:pPr>
              <w:pStyle w:val="TableText"/>
            </w:pPr>
            <w:r>
              <w:t>NFR-SEC-006</w:t>
            </w:r>
          </w:p>
        </w:tc>
        <w:tc>
          <w:tcPr>
            <w:tcW w:type="dxa" w:w="3600"/>
            <w:vAlign w:val="center"/>
            <w:tcMar>
              <w:top w:w="100" w:type="dxa"/>
              <w:start w:w="100" w:type="dxa"/>
              <w:bottom w:w="100" w:type="dxa"/>
              <w:end w:w="100" w:type="dxa"/>
            </w:tcMar>
          </w:tcPr>
          <w:p>
            <w:pPr>
              <w:pStyle w:val="TableText"/>
            </w:pPr>
            <w:r>
              <w:t>SQL injection/SAST/DAST tests</w:t>
            </w:r>
          </w:p>
        </w:tc>
        <w:tc>
          <w:tcPr>
            <w:tcW w:type="dxa" w:w="2880"/>
            <w:vAlign w:val="center"/>
            <w:tcMar>
              <w:top w:w="100" w:type="dxa"/>
              <w:start w:w="100" w:type="dxa"/>
              <w:bottom w:w="100" w:type="dxa"/>
              <w:end w:w="100" w:type="dxa"/>
            </w:tcMar>
          </w:tcPr>
          <w:p>
            <w:pPr>
              <w:pStyle w:val="TableText"/>
            </w:pPr>
            <w:r>
              <w:t>Zero exploitable SQL-injection findings</w:t>
            </w:r>
          </w:p>
        </w:tc>
      </w:tr>
      <w:tr>
        <w:tc>
          <w:tcPr>
            <w:tcW w:type="dxa" w:w="1584"/>
            <w:vAlign w:val="center"/>
            <w:tcMar>
              <w:top w:w="100" w:type="dxa"/>
              <w:start w:w="100" w:type="dxa"/>
              <w:bottom w:w="100" w:type="dxa"/>
              <w:end w:w="100" w:type="dxa"/>
            </w:tcMar>
          </w:tcPr>
          <w:p>
            <w:pPr>
              <w:pStyle w:val="TableText"/>
            </w:pPr>
            <w:r>
              <w:t>ST-009</w:t>
            </w:r>
          </w:p>
        </w:tc>
        <w:tc>
          <w:tcPr>
            <w:tcW w:type="dxa" w:w="1800"/>
            <w:vAlign w:val="center"/>
            <w:tcMar>
              <w:top w:w="100" w:type="dxa"/>
              <w:start w:w="100" w:type="dxa"/>
              <w:bottom w:w="100" w:type="dxa"/>
              <w:end w:w="100" w:type="dxa"/>
            </w:tcMar>
          </w:tcPr>
          <w:p>
            <w:pPr>
              <w:pStyle w:val="TableText"/>
            </w:pPr>
            <w:r>
              <w:t>NFR-SEC-009</w:t>
            </w:r>
          </w:p>
        </w:tc>
        <w:tc>
          <w:tcPr>
            <w:tcW w:type="dxa" w:w="3600"/>
            <w:vAlign w:val="center"/>
            <w:tcMar>
              <w:top w:w="100" w:type="dxa"/>
              <w:start w:w="100" w:type="dxa"/>
              <w:bottom w:w="100" w:type="dxa"/>
              <w:end w:w="100" w:type="dxa"/>
            </w:tcMar>
          </w:tcPr>
          <w:p>
            <w:pPr>
              <w:pStyle w:val="TableText"/>
            </w:pPr>
            <w:r>
              <w:t>Run CI security scans</w:t>
            </w:r>
          </w:p>
        </w:tc>
        <w:tc>
          <w:tcPr>
            <w:tcW w:type="dxa" w:w="2880"/>
            <w:vAlign w:val="center"/>
            <w:tcMar>
              <w:top w:w="100" w:type="dxa"/>
              <w:start w:w="100" w:type="dxa"/>
              <w:bottom w:w="100" w:type="dxa"/>
              <w:end w:w="100" w:type="dxa"/>
            </w:tcMar>
          </w:tcPr>
          <w:p>
            <w:pPr>
              <w:pStyle w:val="TableText"/>
            </w:pPr>
            <w:r>
              <w:t>Zero unresolved Critical/High findings</w:t>
            </w:r>
          </w:p>
        </w:tc>
      </w:tr>
      <w:tr>
        <w:tc>
          <w:tcPr>
            <w:tcW w:type="dxa" w:w="1584"/>
            <w:vAlign w:val="center"/>
            <w:tcMar>
              <w:top w:w="100" w:type="dxa"/>
              <w:start w:w="100" w:type="dxa"/>
              <w:bottom w:w="100" w:type="dxa"/>
              <w:end w:w="100" w:type="dxa"/>
            </w:tcMar>
          </w:tcPr>
          <w:p>
            <w:pPr>
              <w:pStyle w:val="TableText"/>
            </w:pPr>
            <w:r>
              <w:t>AT-A11Y-001</w:t>
            </w:r>
          </w:p>
        </w:tc>
        <w:tc>
          <w:tcPr>
            <w:tcW w:type="dxa" w:w="1800"/>
            <w:vAlign w:val="center"/>
            <w:tcMar>
              <w:top w:w="100" w:type="dxa"/>
              <w:start w:w="100" w:type="dxa"/>
              <w:bottom w:w="100" w:type="dxa"/>
              <w:end w:w="100" w:type="dxa"/>
            </w:tcMar>
          </w:tcPr>
          <w:p>
            <w:pPr>
              <w:pStyle w:val="TableText"/>
            </w:pPr>
            <w:r>
              <w:t>NFR-A11Y-001</w:t>
            </w:r>
          </w:p>
        </w:tc>
        <w:tc>
          <w:tcPr>
            <w:tcW w:type="dxa" w:w="3600"/>
            <w:vAlign w:val="center"/>
            <w:tcMar>
              <w:top w:w="100" w:type="dxa"/>
              <w:start w:w="100" w:type="dxa"/>
              <w:bottom w:w="100" w:type="dxa"/>
              <w:end w:w="100" w:type="dxa"/>
            </w:tcMar>
          </w:tcPr>
          <w:p>
            <w:pPr>
              <w:pStyle w:val="TableText"/>
            </w:pPr>
            <w:r>
              <w:t>WCAG 2.2 AA audit</w:t>
            </w:r>
          </w:p>
        </w:tc>
        <w:tc>
          <w:tcPr>
            <w:tcW w:type="dxa" w:w="2880"/>
            <w:vAlign w:val="center"/>
            <w:tcMar>
              <w:top w:w="100" w:type="dxa"/>
              <w:start w:w="100" w:type="dxa"/>
              <w:bottom w:w="100" w:type="dxa"/>
              <w:end w:w="100" w:type="dxa"/>
            </w:tcMar>
          </w:tcPr>
          <w:p>
            <w:pPr>
              <w:pStyle w:val="TableText"/>
            </w:pPr>
            <w:r>
              <w:t>Zero Critical accessibility violations</w:t>
            </w:r>
          </w:p>
        </w:tc>
      </w:tr>
      <w:tr>
        <w:tc>
          <w:tcPr>
            <w:tcW w:type="dxa" w:w="1584"/>
            <w:vAlign w:val="center"/>
            <w:tcMar>
              <w:top w:w="100" w:type="dxa"/>
              <w:start w:w="100" w:type="dxa"/>
              <w:bottom w:w="100" w:type="dxa"/>
              <w:end w:w="100" w:type="dxa"/>
            </w:tcMar>
          </w:tcPr>
          <w:p>
            <w:pPr>
              <w:pStyle w:val="TableText"/>
            </w:pPr>
            <w:r>
              <w:t>UT-USAB-001</w:t>
            </w:r>
          </w:p>
        </w:tc>
        <w:tc>
          <w:tcPr>
            <w:tcW w:type="dxa" w:w="1800"/>
            <w:vAlign w:val="center"/>
            <w:tcMar>
              <w:top w:w="100" w:type="dxa"/>
              <w:start w:w="100" w:type="dxa"/>
              <w:bottom w:w="100" w:type="dxa"/>
              <w:end w:w="100" w:type="dxa"/>
            </w:tcMar>
          </w:tcPr>
          <w:p>
            <w:pPr>
              <w:pStyle w:val="TableText"/>
            </w:pPr>
            <w:r>
              <w:t>NFR-USAB-001</w:t>
            </w:r>
          </w:p>
        </w:tc>
        <w:tc>
          <w:tcPr>
            <w:tcW w:type="dxa" w:w="3600"/>
            <w:vAlign w:val="center"/>
            <w:tcMar>
              <w:top w:w="100" w:type="dxa"/>
              <w:start w:w="100" w:type="dxa"/>
              <w:bottom w:w="100" w:type="dxa"/>
              <w:end w:w="100" w:type="dxa"/>
            </w:tcMar>
          </w:tcPr>
          <w:p>
            <w:pPr>
              <w:pStyle w:val="TableText"/>
            </w:pPr>
            <w:r>
              <w:t>Five first-time users perform core workflow</w:t>
            </w:r>
          </w:p>
        </w:tc>
        <w:tc>
          <w:tcPr>
            <w:tcW w:type="dxa" w:w="2880"/>
            <w:vAlign w:val="center"/>
            <w:tcMar>
              <w:top w:w="100" w:type="dxa"/>
              <w:start w:w="100" w:type="dxa"/>
              <w:bottom w:w="100" w:type="dxa"/>
              <w:end w:w="100" w:type="dxa"/>
            </w:tcMar>
          </w:tcPr>
          <w:p>
            <w:pPr>
              <w:pStyle w:val="TableText"/>
            </w:pPr>
            <w:r>
              <w:t>&gt;=80% complete within 10 minutes unaided</w:t>
            </w:r>
          </w:p>
        </w:tc>
      </w:tr>
      <w:tr>
        <w:tc>
          <w:tcPr>
            <w:tcW w:type="dxa" w:w="1584"/>
            <w:vAlign w:val="center"/>
            <w:tcMar>
              <w:top w:w="100" w:type="dxa"/>
              <w:start w:w="100" w:type="dxa"/>
              <w:bottom w:w="100" w:type="dxa"/>
              <w:end w:w="100" w:type="dxa"/>
            </w:tcMar>
          </w:tcPr>
          <w:p>
            <w:pPr>
              <w:pStyle w:val="TableText"/>
            </w:pPr>
            <w:r>
              <w:t>CT-MNT-002</w:t>
            </w:r>
          </w:p>
        </w:tc>
        <w:tc>
          <w:tcPr>
            <w:tcW w:type="dxa" w:w="1800"/>
            <w:vAlign w:val="center"/>
            <w:tcMar>
              <w:top w:w="100" w:type="dxa"/>
              <w:start w:w="100" w:type="dxa"/>
              <w:bottom w:w="100" w:type="dxa"/>
              <w:end w:w="100" w:type="dxa"/>
            </w:tcMar>
          </w:tcPr>
          <w:p>
            <w:pPr>
              <w:pStyle w:val="TableText"/>
            </w:pPr>
            <w:r>
              <w:t>NFR-MNT-002</w:t>
            </w:r>
          </w:p>
        </w:tc>
        <w:tc>
          <w:tcPr>
            <w:tcW w:type="dxa" w:w="3600"/>
            <w:vAlign w:val="center"/>
            <w:tcMar>
              <w:top w:w="100" w:type="dxa"/>
              <w:start w:w="100" w:type="dxa"/>
              <w:bottom w:w="100" w:type="dxa"/>
              <w:end w:w="100" w:type="dxa"/>
            </w:tcMar>
          </w:tcPr>
          <w:p>
            <w:pPr>
              <w:pStyle w:val="TableText"/>
            </w:pPr>
            <w:r>
              <w:t>CI coverage analysis</w:t>
            </w:r>
          </w:p>
        </w:tc>
        <w:tc>
          <w:tcPr>
            <w:tcW w:type="dxa" w:w="2880"/>
            <w:vAlign w:val="center"/>
            <w:tcMar>
              <w:top w:w="100" w:type="dxa"/>
              <w:start w:w="100" w:type="dxa"/>
              <w:bottom w:w="100" w:type="dxa"/>
              <w:end w:w="100" w:type="dxa"/>
            </w:tcMar>
          </w:tcPr>
          <w:p>
            <w:pPr>
              <w:pStyle w:val="TableText"/>
            </w:pPr>
            <w:r>
              <w:t>Pace branch &gt;=90%; backend line &gt;=75%</w:t>
            </w:r>
          </w:p>
        </w:tc>
      </w:tr>
      <w:tr>
        <w:tc>
          <w:tcPr>
            <w:tcW w:type="dxa" w:w="1584"/>
            <w:vAlign w:val="center"/>
            <w:tcMar>
              <w:top w:w="100" w:type="dxa"/>
              <w:start w:w="100" w:type="dxa"/>
              <w:bottom w:w="100" w:type="dxa"/>
              <w:end w:w="100" w:type="dxa"/>
            </w:tcMar>
          </w:tcPr>
          <w:p>
            <w:pPr>
              <w:pStyle w:val="TableText"/>
            </w:pPr>
            <w:r>
              <w:t>OT-OBS-001</w:t>
            </w:r>
          </w:p>
        </w:tc>
        <w:tc>
          <w:tcPr>
            <w:tcW w:type="dxa" w:w="1800"/>
            <w:vAlign w:val="center"/>
            <w:tcMar>
              <w:top w:w="100" w:type="dxa"/>
              <w:start w:w="100" w:type="dxa"/>
              <w:bottom w:w="100" w:type="dxa"/>
              <w:end w:w="100" w:type="dxa"/>
            </w:tcMar>
          </w:tcPr>
          <w:p>
            <w:pPr>
              <w:pStyle w:val="TableText"/>
            </w:pPr>
            <w:r>
              <w:t>NFR-OBS-001</w:t>
            </w:r>
          </w:p>
        </w:tc>
        <w:tc>
          <w:tcPr>
            <w:tcW w:type="dxa" w:w="3600"/>
            <w:vAlign w:val="center"/>
            <w:tcMar>
              <w:top w:w="100" w:type="dxa"/>
              <w:start w:w="100" w:type="dxa"/>
              <w:bottom w:w="100" w:type="dxa"/>
              <w:end w:w="100" w:type="dxa"/>
            </w:tcMar>
          </w:tcPr>
          <w:p>
            <w:pPr>
              <w:pStyle w:val="TableText"/>
            </w:pPr>
            <w:r>
              <w:t>Send API request</w:t>
            </w:r>
          </w:p>
        </w:tc>
        <w:tc>
          <w:tcPr>
            <w:tcW w:type="dxa" w:w="2880"/>
            <w:vAlign w:val="center"/>
            <w:tcMar>
              <w:top w:w="100" w:type="dxa"/>
              <w:start w:w="100" w:type="dxa"/>
              <w:bottom w:w="100" w:type="dxa"/>
              <w:end w:w="100" w:type="dxa"/>
            </w:tcMar>
          </w:tcPr>
          <w:p>
            <w:pPr>
              <w:pStyle w:val="TableText"/>
            </w:pPr>
            <w:r>
              <w:t>Correlation ID appears in response and related logs</w:t>
            </w:r>
          </w:p>
        </w:tc>
      </w:tr>
      <w:tr>
        <w:tc>
          <w:tcPr>
            <w:tcW w:type="dxa" w:w="1584"/>
            <w:vAlign w:val="center"/>
            <w:tcMar>
              <w:top w:w="100" w:type="dxa"/>
              <w:start w:w="100" w:type="dxa"/>
              <w:bottom w:w="100" w:type="dxa"/>
              <w:end w:w="100" w:type="dxa"/>
            </w:tcMar>
          </w:tcPr>
          <w:p>
            <w:pPr>
              <w:pStyle w:val="TableText"/>
            </w:pPr>
            <w:r>
              <w:t>BCP-001</w:t>
            </w:r>
          </w:p>
        </w:tc>
        <w:tc>
          <w:tcPr>
            <w:tcW w:type="dxa" w:w="1800"/>
            <w:vAlign w:val="center"/>
            <w:tcMar>
              <w:top w:w="100" w:type="dxa"/>
              <w:start w:w="100" w:type="dxa"/>
              <w:bottom w:w="100" w:type="dxa"/>
              <w:end w:w="100" w:type="dxa"/>
            </w:tcMar>
          </w:tcPr>
          <w:p>
            <w:pPr>
              <w:pStyle w:val="TableText"/>
            </w:pPr>
            <w:r>
              <w:t>NFR-BCP-001</w:t>
            </w:r>
          </w:p>
        </w:tc>
        <w:tc>
          <w:tcPr>
            <w:tcW w:type="dxa" w:w="3600"/>
            <w:vAlign w:val="center"/>
            <w:tcMar>
              <w:top w:w="100" w:type="dxa"/>
              <w:start w:w="100" w:type="dxa"/>
              <w:bottom w:w="100" w:type="dxa"/>
              <w:end w:w="100" w:type="dxa"/>
            </w:tcMar>
          </w:tcPr>
          <w:p>
            <w:pPr>
              <w:pStyle w:val="TableText"/>
            </w:pPr>
            <w:r>
              <w:t>Backup/restore test</w:t>
            </w:r>
          </w:p>
        </w:tc>
        <w:tc>
          <w:tcPr>
            <w:tcW w:type="dxa" w:w="2880"/>
            <w:vAlign w:val="center"/>
            <w:tcMar>
              <w:top w:w="100" w:type="dxa"/>
              <w:start w:w="100" w:type="dxa"/>
              <w:bottom w:w="100" w:type="dxa"/>
              <w:end w:w="100" w:type="dxa"/>
            </w:tcMar>
          </w:tcPr>
          <w:p>
            <w:pPr>
              <w:pStyle w:val="TableText"/>
            </w:pPr>
            <w:r>
              <w:t>Daily encrypted backup, RPO &lt;=24h and RTO &lt;=4h</w:t>
            </w:r>
          </w:p>
        </w:tc>
      </w:tr>
    </w:tbl>
    <w:p>
      <w:pPr>
        <w:spacing w:after="20"/>
      </w:pPr>
    </w:p>
    <w:p>
      <w:pPr>
        <w:pStyle w:val="Heading2"/>
        <w:keepNext/>
      </w:pPr>
      <w:r>
        <w:t>7.5 Golden Test Set</w:t>
      </w:r>
    </w:p>
    <w:p>
      <w:pPr>
        <w:pStyle w:val="Heading3"/>
        <w:keepNext/>
      </w:pPr>
      <w:r>
        <w:t>GT-01 - Positive Capacity</w:t>
      </w:r>
    </w:p>
    <w:p>
      <w:r>
        <w:t>Inputs: Starting cash $5,000; confirmed income $1,000; expenses $500; reserve $500; target $10,000; saved $6,000; 10 weeks. Expected: Forecast Resources $5,000; Goal Gap $4,000; Discretionary Capacity $1,000; Projected Shortfall $0; Weekly Safe-to-Spend $100.</w:t>
      </w:r>
    </w:p>
    <w:p>
      <w:pPr>
        <w:pStyle w:val="Heading3"/>
        <w:keepNext/>
      </w:pPr>
      <w:r>
        <w:t>GT-02 - Corrected PDR Scenario</w:t>
      </w:r>
    </w:p>
    <w:p>
      <w:r>
        <w:t>Inputs: Starting cash $3,150; confirmed future income $5,270; planned future expenses $2,930; reserve $260; target $12,000; saved $4,850; 30 weeks. Expected: Forecast Resources $5,230; Goal Gap $7,150; Capacity -$1,920; Projected Shortfall $1,920; Weekly Safe-to-Spend $0; Status At Risk. Earlier mockup values of $740 shortfall and $192 safe-to-spend are not valid for these inputs.</w:t>
      </w:r>
    </w:p>
    <w:p>
      <w:pPr>
        <w:pStyle w:val="Heading3"/>
        <w:keepNext/>
      </w:pPr>
      <w:r>
        <w:t>GT-03 - Completed Goal</w:t>
      </w:r>
    </w:p>
    <w:p>
      <w:r>
        <w:t>Target = $10,000 and saved = $10,000. Expected status: Completed.</w:t>
      </w:r>
    </w:p>
    <w:p>
      <w:pPr>
        <w:pStyle w:val="Heading3"/>
        <w:keepNext/>
      </w:pPr>
      <w:r>
        <w:t>GT-04 - Unconfirmed Income</w:t>
      </w:r>
    </w:p>
    <w:p>
      <w:r>
        <w:t>An otherwise valid $1,000 income source is marked unconfirmed. Expected: it contributes $0 to forecast income.</w:t>
      </w:r>
    </w:p>
    <w:p>
      <w:pPr>
        <w:pStyle w:val="Heading3"/>
        <w:keepNext/>
      </w:pPr>
      <w:r>
        <w:t>GT-05 - Downward Rounding</w:t>
      </w:r>
    </w:p>
    <w:p>
      <w:r>
        <w:t>Discretionary capacity = 999 cents across four weeks. Expected Weekly Safe-to-Spend: $2, not $2.50 or $3.</w:t>
      </w:r>
    </w:p>
    <w:p>
      <w:pPr>
        <w:pStyle w:val="Heading3"/>
        <w:keepNext/>
      </w:pPr>
      <w:r>
        <w:t>GT-06 - Monthly Boundary</w:t>
      </w:r>
    </w:p>
    <w:p>
      <w:r>
        <w:t>A monthly occurrence begins January 31 and continues into February. Expected February occurrence date: the final calendar day of February.</w:t>
      </w:r>
    </w:p>
    <w:p>
      <w:r>
        <w:t>All golden tests must pass before release.</w:t>
      </w:r>
    </w:p>
    <w:p>
      <w:pPr>
        <w:pStyle w:val="Heading2"/>
        <w:keepNext/>
      </w:pPr>
      <w:r>
        <w:t>7.6 Functional and Non-Functional Testing</w:t>
      </w:r>
    </w:p>
    <w:p>
      <w:pPr>
        <w:pStyle w:val="Heading3"/>
        <w:keepNext/>
      </w:pPr>
      <w:r>
        <w:t>Functional Tests</w:t>
      </w:r>
    </w:p>
    <w:p>
      <w:r>
        <w:t>Functional testing covers registration and authentication, goal creation and editing, one-Active-goal restriction, manual financial inputs, confirmed and unconfirmed income, planned expenses, recurrence logic, pace-v1 calculations, status logic, snapshots, weekly plans, dashboard, error handling, export, account deletion, and AI Future guardrail behavior.</w:t>
      </w:r>
    </w:p>
    <w:p>
      <w:pPr>
        <w:pStyle w:val="Heading3"/>
        <w:keepNext/>
      </w:pPr>
      <w:r>
        <w:t>Performance Tests</w:t>
      </w:r>
    </w:p>
    <w:p>
      <w:r>
        <w:t>The principal performance test will simulate up to 50 concurrent authenticated users with plans containing up to 100 income sources and 100 expenses. Acceptance targets: 95% of save/recalculate requests complete within 2 seconds; 99% within 4 seconds; 95% of dashboard backend responses within 750 ms; browser Largest Contentful Paint &lt;=2.5 seconds on a 10 Mbps connection; and export of up to 10,000 owned records completes within 10 seconds in at least 95% of tests.</w:t>
      </w:r>
    </w:p>
    <w:p>
      <w:pPr>
        <w:pStyle w:val="Heading3"/>
        <w:keepNext/>
      </w:pPr>
      <w:r>
        <w:t>Reliability Tests</w:t>
      </w:r>
    </w:p>
    <w:p>
      <w:r>
        <w:t>Reliability tests will include transaction fault injection, application restart after committed calculation, restoration of latest snapshot and weekly plan, AI dependency unavailable for 24 hours, and backup/restore tests.</w:t>
      </w:r>
    </w:p>
    <w:p>
      <w:pPr>
        <w:pStyle w:val="Heading3"/>
        <w:keepNext/>
      </w:pPr>
      <w:r>
        <w:t>Security Tests</w:t>
      </w:r>
    </w:p>
    <w:p>
      <w:r>
        <w:t>Security testing will include SAST, dependency scanning, DAST where practical, authentication testing, session security, authorization and cross-user access, SQL injection, XSS, CSRF, rate limiting, secret scanning, HTTPS/TLS configuration, audit logging, and account deletion/export authorization. No Critical or High security finding may remain unresolved for release.</w:t>
      </w:r>
    </w:p>
    <w:p>
      <w:pPr>
        <w:pStyle w:val="Heading2"/>
        <w:keepNext/>
      </w:pPr>
      <w:r>
        <w:t>7.7 Requirements Traceability Matrix</w:t>
      </w:r>
    </w:p>
    <w:p>
      <w:r>
        <w:t>The SRS v2.0 contains the master traceability baseline. The following matrix shows the principal SQAP/STP mappings.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320"/>
            <w:shd w:fill="166753"/>
            <w:vAlign w:val="center"/>
            <w:tcMar>
              <w:top w:w="110" w:type="dxa"/>
              <w:start w:w="100" w:type="dxa"/>
              <w:bottom w:w="110" w:type="dxa"/>
              <w:end w:w="100" w:type="dxa"/>
            </w:tcMar>
          </w:tcPr>
          <w:p>
            <w:pPr>
              <w:pStyle w:val="TableText"/>
              <w:jc w:val="center"/>
            </w:pPr>
            <w:r>
              <w:rPr>
                <w:b/>
                <w:color w:val="FFFFFF"/>
              </w:rPr>
              <w:t>SRS Requirement</w:t>
            </w:r>
          </w:p>
        </w:tc>
        <w:tc>
          <w:tcPr>
            <w:tcW w:type="dxa" w:w="4896"/>
            <w:shd w:fill="166753"/>
            <w:vAlign w:val="center"/>
            <w:tcMar>
              <w:top w:w="110" w:type="dxa"/>
              <w:start w:w="100" w:type="dxa"/>
              <w:bottom w:w="110" w:type="dxa"/>
              <w:end w:w="100" w:type="dxa"/>
            </w:tcMar>
          </w:tcPr>
          <w:p>
            <w:pPr>
              <w:pStyle w:val="TableText"/>
              <w:jc w:val="center"/>
            </w:pPr>
            <w:r>
              <w:rPr>
                <w:b/>
                <w:color w:val="FFFFFF"/>
              </w:rPr>
              <w:t>Verification Test</w:t>
            </w:r>
          </w:p>
        </w:tc>
      </w:tr>
      <w:tr>
        <w:tc>
          <w:tcPr>
            <w:tcW w:type="dxa" w:w="4320"/>
            <w:vAlign w:val="center"/>
            <w:tcMar>
              <w:top w:w="100" w:type="dxa"/>
              <w:start w:w="100" w:type="dxa"/>
              <w:bottom w:w="100" w:type="dxa"/>
              <w:end w:w="100" w:type="dxa"/>
            </w:tcMar>
          </w:tcPr>
          <w:p>
            <w:pPr>
              <w:pStyle w:val="TableText"/>
            </w:pPr>
            <w:r>
              <w:t>FR-AUTH-001</w:t>
            </w:r>
          </w:p>
        </w:tc>
        <w:tc>
          <w:tcPr>
            <w:tcW w:type="dxa" w:w="4896"/>
            <w:vAlign w:val="center"/>
            <w:tcMar>
              <w:top w:w="100" w:type="dxa"/>
              <w:start w:w="100" w:type="dxa"/>
              <w:bottom w:w="100" w:type="dxa"/>
              <w:end w:w="100" w:type="dxa"/>
            </w:tcMar>
          </w:tcPr>
          <w:p>
            <w:pPr>
              <w:pStyle w:val="TableText"/>
            </w:pPr>
            <w:r>
              <w:t>TC-AUTH-001</w:t>
            </w:r>
          </w:p>
        </w:tc>
      </w:tr>
      <w:tr>
        <w:tc>
          <w:tcPr>
            <w:tcW w:type="dxa" w:w="4320"/>
            <w:vAlign w:val="center"/>
            <w:tcMar>
              <w:top w:w="100" w:type="dxa"/>
              <w:start w:w="100" w:type="dxa"/>
              <w:bottom w:w="100" w:type="dxa"/>
              <w:end w:w="100" w:type="dxa"/>
            </w:tcMar>
          </w:tcPr>
          <w:p>
            <w:pPr>
              <w:pStyle w:val="TableText"/>
            </w:pPr>
            <w:r>
              <w:t>FR-AUTH-003</w:t>
            </w:r>
          </w:p>
        </w:tc>
        <w:tc>
          <w:tcPr>
            <w:tcW w:type="dxa" w:w="4896"/>
            <w:vAlign w:val="center"/>
            <w:tcMar>
              <w:top w:w="100" w:type="dxa"/>
              <w:start w:w="100" w:type="dxa"/>
              <w:bottom w:w="100" w:type="dxa"/>
              <w:end w:w="100" w:type="dxa"/>
            </w:tcMar>
          </w:tcPr>
          <w:p>
            <w:pPr>
              <w:pStyle w:val="TableText"/>
            </w:pPr>
            <w:r>
              <w:t>TC-AUTH-003</w:t>
            </w:r>
          </w:p>
        </w:tc>
      </w:tr>
      <w:tr>
        <w:tc>
          <w:tcPr>
            <w:tcW w:type="dxa" w:w="4320"/>
            <w:vAlign w:val="center"/>
            <w:tcMar>
              <w:top w:w="100" w:type="dxa"/>
              <w:start w:w="100" w:type="dxa"/>
              <w:bottom w:w="100" w:type="dxa"/>
              <w:end w:w="100" w:type="dxa"/>
            </w:tcMar>
          </w:tcPr>
          <w:p>
            <w:pPr>
              <w:pStyle w:val="TableText"/>
            </w:pPr>
            <w:r>
              <w:t>FR-GOAL-003</w:t>
            </w:r>
          </w:p>
        </w:tc>
        <w:tc>
          <w:tcPr>
            <w:tcW w:type="dxa" w:w="4896"/>
            <w:vAlign w:val="center"/>
            <w:tcMar>
              <w:top w:w="100" w:type="dxa"/>
              <w:start w:w="100" w:type="dxa"/>
              <w:bottom w:w="100" w:type="dxa"/>
              <w:end w:w="100" w:type="dxa"/>
            </w:tcMar>
          </w:tcPr>
          <w:p>
            <w:pPr>
              <w:pStyle w:val="TableText"/>
            </w:pPr>
            <w:r>
              <w:t>TC-GOAL-003</w:t>
            </w:r>
          </w:p>
        </w:tc>
      </w:tr>
      <w:tr>
        <w:tc>
          <w:tcPr>
            <w:tcW w:type="dxa" w:w="4320"/>
            <w:vAlign w:val="center"/>
            <w:tcMar>
              <w:top w:w="100" w:type="dxa"/>
              <w:start w:w="100" w:type="dxa"/>
              <w:bottom w:w="100" w:type="dxa"/>
              <w:end w:w="100" w:type="dxa"/>
            </w:tcMar>
          </w:tcPr>
          <w:p>
            <w:pPr>
              <w:pStyle w:val="TableText"/>
            </w:pPr>
            <w:r>
              <w:t>FR-INP-004</w:t>
            </w:r>
          </w:p>
        </w:tc>
        <w:tc>
          <w:tcPr>
            <w:tcW w:type="dxa" w:w="4896"/>
            <w:vAlign w:val="center"/>
            <w:tcMar>
              <w:top w:w="100" w:type="dxa"/>
              <w:start w:w="100" w:type="dxa"/>
              <w:bottom w:w="100" w:type="dxa"/>
              <w:end w:w="100" w:type="dxa"/>
            </w:tcMar>
          </w:tcPr>
          <w:p>
            <w:pPr>
              <w:pStyle w:val="TableText"/>
            </w:pPr>
            <w:r>
              <w:t>TC-INP-004 / GT-04</w:t>
            </w:r>
          </w:p>
        </w:tc>
      </w:tr>
      <w:tr>
        <w:tc>
          <w:tcPr>
            <w:tcW w:type="dxa" w:w="4320"/>
            <w:vAlign w:val="center"/>
            <w:tcMar>
              <w:top w:w="100" w:type="dxa"/>
              <w:start w:w="100" w:type="dxa"/>
              <w:bottom w:w="100" w:type="dxa"/>
              <w:end w:w="100" w:type="dxa"/>
            </w:tcMar>
          </w:tcPr>
          <w:p>
            <w:pPr>
              <w:pStyle w:val="TableText"/>
            </w:pPr>
            <w:r>
              <w:t>FR-INP-008</w:t>
            </w:r>
          </w:p>
        </w:tc>
        <w:tc>
          <w:tcPr>
            <w:tcW w:type="dxa" w:w="4896"/>
            <w:vAlign w:val="center"/>
            <w:tcMar>
              <w:top w:w="100" w:type="dxa"/>
              <w:start w:w="100" w:type="dxa"/>
              <w:bottom w:w="100" w:type="dxa"/>
              <w:end w:w="100" w:type="dxa"/>
            </w:tcMar>
          </w:tcPr>
          <w:p>
            <w:pPr>
              <w:pStyle w:val="TableText"/>
            </w:pPr>
            <w:r>
              <w:t>TC-INP-008</w:t>
            </w:r>
          </w:p>
        </w:tc>
      </w:tr>
      <w:tr>
        <w:tc>
          <w:tcPr>
            <w:tcW w:type="dxa" w:w="4320"/>
            <w:vAlign w:val="center"/>
            <w:tcMar>
              <w:top w:w="100" w:type="dxa"/>
              <w:start w:w="100" w:type="dxa"/>
              <w:bottom w:w="100" w:type="dxa"/>
              <w:end w:w="100" w:type="dxa"/>
            </w:tcMar>
          </w:tcPr>
          <w:p>
            <w:pPr>
              <w:pStyle w:val="TableText"/>
            </w:pPr>
            <w:r>
              <w:t>FR-CALC-006</w:t>
            </w:r>
          </w:p>
        </w:tc>
        <w:tc>
          <w:tcPr>
            <w:tcW w:type="dxa" w:w="4896"/>
            <w:vAlign w:val="center"/>
            <w:tcMar>
              <w:top w:w="100" w:type="dxa"/>
              <w:start w:w="100" w:type="dxa"/>
              <w:bottom w:w="100" w:type="dxa"/>
              <w:end w:w="100" w:type="dxa"/>
            </w:tcMar>
          </w:tcPr>
          <w:p>
            <w:pPr>
              <w:pStyle w:val="TableText"/>
            </w:pPr>
            <w:r>
              <w:t>TC-CALC-006 / GT-01</w:t>
            </w:r>
          </w:p>
        </w:tc>
      </w:tr>
      <w:tr>
        <w:tc>
          <w:tcPr>
            <w:tcW w:type="dxa" w:w="4320"/>
            <w:vAlign w:val="center"/>
            <w:tcMar>
              <w:top w:w="100" w:type="dxa"/>
              <w:start w:w="100" w:type="dxa"/>
              <w:bottom w:w="100" w:type="dxa"/>
              <w:end w:w="100" w:type="dxa"/>
            </w:tcMar>
          </w:tcPr>
          <w:p>
            <w:pPr>
              <w:pStyle w:val="TableText"/>
            </w:pPr>
            <w:r>
              <w:t>FR-CALC-009</w:t>
            </w:r>
          </w:p>
        </w:tc>
        <w:tc>
          <w:tcPr>
            <w:tcW w:type="dxa" w:w="4896"/>
            <w:vAlign w:val="center"/>
            <w:tcMar>
              <w:top w:w="100" w:type="dxa"/>
              <w:start w:w="100" w:type="dxa"/>
              <w:bottom w:w="100" w:type="dxa"/>
              <w:end w:w="100" w:type="dxa"/>
            </w:tcMar>
          </w:tcPr>
          <w:p>
            <w:pPr>
              <w:pStyle w:val="TableText"/>
            </w:pPr>
            <w:r>
              <w:t>TC-CALC-009 / GT-01</w:t>
            </w:r>
          </w:p>
        </w:tc>
      </w:tr>
      <w:tr>
        <w:tc>
          <w:tcPr>
            <w:tcW w:type="dxa" w:w="4320"/>
            <w:vAlign w:val="center"/>
            <w:tcMar>
              <w:top w:w="100" w:type="dxa"/>
              <w:start w:w="100" w:type="dxa"/>
              <w:bottom w:w="100" w:type="dxa"/>
              <w:end w:w="100" w:type="dxa"/>
            </w:tcMar>
          </w:tcPr>
          <w:p>
            <w:pPr>
              <w:pStyle w:val="TableText"/>
            </w:pPr>
            <w:r>
              <w:t>FR-CALC-010</w:t>
            </w:r>
          </w:p>
        </w:tc>
        <w:tc>
          <w:tcPr>
            <w:tcW w:type="dxa" w:w="4896"/>
            <w:vAlign w:val="center"/>
            <w:tcMar>
              <w:top w:w="100" w:type="dxa"/>
              <w:start w:w="100" w:type="dxa"/>
              <w:bottom w:w="100" w:type="dxa"/>
              <w:end w:w="100" w:type="dxa"/>
            </w:tcMar>
          </w:tcPr>
          <w:p>
            <w:pPr>
              <w:pStyle w:val="TableText"/>
            </w:pPr>
            <w:r>
              <w:t>TC-CALC-010 / GT-05</w:t>
            </w:r>
          </w:p>
        </w:tc>
      </w:tr>
      <w:tr>
        <w:tc>
          <w:tcPr>
            <w:tcW w:type="dxa" w:w="4320"/>
            <w:vAlign w:val="center"/>
            <w:tcMar>
              <w:top w:w="100" w:type="dxa"/>
              <w:start w:w="100" w:type="dxa"/>
              <w:bottom w:w="100" w:type="dxa"/>
              <w:end w:w="100" w:type="dxa"/>
            </w:tcMar>
          </w:tcPr>
          <w:p>
            <w:pPr>
              <w:pStyle w:val="TableText"/>
            </w:pPr>
            <w:r>
              <w:t>FR-CALC-013</w:t>
            </w:r>
          </w:p>
        </w:tc>
        <w:tc>
          <w:tcPr>
            <w:tcW w:type="dxa" w:w="4896"/>
            <w:vAlign w:val="center"/>
            <w:tcMar>
              <w:top w:w="100" w:type="dxa"/>
              <w:start w:w="100" w:type="dxa"/>
              <w:bottom w:w="100" w:type="dxa"/>
              <w:end w:w="100" w:type="dxa"/>
            </w:tcMar>
          </w:tcPr>
          <w:p>
            <w:pPr>
              <w:pStyle w:val="TableText"/>
            </w:pPr>
            <w:r>
              <w:t>TC-CALC-013 / GT-02</w:t>
            </w:r>
          </w:p>
        </w:tc>
      </w:tr>
      <w:tr>
        <w:tc>
          <w:tcPr>
            <w:tcW w:type="dxa" w:w="4320"/>
            <w:vAlign w:val="center"/>
            <w:tcMar>
              <w:top w:w="100" w:type="dxa"/>
              <w:start w:w="100" w:type="dxa"/>
              <w:bottom w:w="100" w:type="dxa"/>
              <w:end w:w="100" w:type="dxa"/>
            </w:tcMar>
          </w:tcPr>
          <w:p>
            <w:pPr>
              <w:pStyle w:val="TableText"/>
            </w:pPr>
            <w:r>
              <w:t>FR-CALC-015</w:t>
            </w:r>
          </w:p>
        </w:tc>
        <w:tc>
          <w:tcPr>
            <w:tcW w:type="dxa" w:w="4896"/>
            <w:vAlign w:val="center"/>
            <w:tcMar>
              <w:top w:w="100" w:type="dxa"/>
              <w:start w:w="100" w:type="dxa"/>
              <w:bottom w:w="100" w:type="dxa"/>
              <w:end w:w="100" w:type="dxa"/>
            </w:tcMar>
          </w:tcPr>
          <w:p>
            <w:pPr>
              <w:pStyle w:val="TableText"/>
            </w:pPr>
            <w:r>
              <w:t>TC-CALC-015</w:t>
            </w:r>
          </w:p>
        </w:tc>
      </w:tr>
      <w:tr>
        <w:tc>
          <w:tcPr>
            <w:tcW w:type="dxa" w:w="4320"/>
            <w:vAlign w:val="center"/>
            <w:tcMar>
              <w:top w:w="100" w:type="dxa"/>
              <w:start w:w="100" w:type="dxa"/>
              <w:bottom w:w="100" w:type="dxa"/>
              <w:end w:w="100" w:type="dxa"/>
            </w:tcMar>
          </w:tcPr>
          <w:p>
            <w:pPr>
              <w:pStyle w:val="TableText"/>
            </w:pPr>
            <w:r>
              <w:t>FR-SNAP-003</w:t>
            </w:r>
          </w:p>
        </w:tc>
        <w:tc>
          <w:tcPr>
            <w:tcW w:type="dxa" w:w="4896"/>
            <w:vAlign w:val="center"/>
            <w:tcMar>
              <w:top w:w="100" w:type="dxa"/>
              <w:start w:w="100" w:type="dxa"/>
              <w:bottom w:w="100" w:type="dxa"/>
              <w:end w:w="100" w:type="dxa"/>
            </w:tcMar>
          </w:tcPr>
          <w:p>
            <w:pPr>
              <w:pStyle w:val="TableText"/>
            </w:pPr>
            <w:r>
              <w:t>TC-SNAP-003</w:t>
            </w:r>
          </w:p>
        </w:tc>
      </w:tr>
      <w:tr>
        <w:tc>
          <w:tcPr>
            <w:tcW w:type="dxa" w:w="4320"/>
            <w:vAlign w:val="center"/>
            <w:tcMar>
              <w:top w:w="100" w:type="dxa"/>
              <w:start w:w="100" w:type="dxa"/>
              <w:bottom w:w="100" w:type="dxa"/>
              <w:end w:w="100" w:type="dxa"/>
            </w:tcMar>
          </w:tcPr>
          <w:p>
            <w:pPr>
              <w:pStyle w:val="TableText"/>
            </w:pPr>
            <w:r>
              <w:t>FR-SNAP-004</w:t>
            </w:r>
          </w:p>
        </w:tc>
        <w:tc>
          <w:tcPr>
            <w:tcW w:type="dxa" w:w="4896"/>
            <w:vAlign w:val="center"/>
            <w:tcMar>
              <w:top w:w="100" w:type="dxa"/>
              <w:start w:w="100" w:type="dxa"/>
              <w:bottom w:w="100" w:type="dxa"/>
              <w:end w:w="100" w:type="dxa"/>
            </w:tcMar>
          </w:tcPr>
          <w:p>
            <w:pPr>
              <w:pStyle w:val="TableText"/>
            </w:pPr>
            <w:r>
              <w:t>TC-SNAP-004 / RT-001</w:t>
            </w:r>
          </w:p>
        </w:tc>
      </w:tr>
      <w:tr>
        <w:tc>
          <w:tcPr>
            <w:tcW w:type="dxa" w:w="4320"/>
            <w:vAlign w:val="center"/>
            <w:tcMar>
              <w:top w:w="100" w:type="dxa"/>
              <w:start w:w="100" w:type="dxa"/>
              <w:bottom w:w="100" w:type="dxa"/>
              <w:end w:w="100" w:type="dxa"/>
            </w:tcMar>
          </w:tcPr>
          <w:p>
            <w:pPr>
              <w:pStyle w:val="TableText"/>
            </w:pPr>
            <w:r>
              <w:t>FR-WEEK-002</w:t>
            </w:r>
          </w:p>
        </w:tc>
        <w:tc>
          <w:tcPr>
            <w:tcW w:type="dxa" w:w="4896"/>
            <w:vAlign w:val="center"/>
            <w:tcMar>
              <w:top w:w="100" w:type="dxa"/>
              <w:start w:w="100" w:type="dxa"/>
              <w:bottom w:w="100" w:type="dxa"/>
              <w:end w:w="100" w:type="dxa"/>
            </w:tcMar>
          </w:tcPr>
          <w:p>
            <w:pPr>
              <w:pStyle w:val="TableText"/>
            </w:pPr>
            <w:r>
              <w:t>TC-WEEK-002</w:t>
            </w:r>
          </w:p>
        </w:tc>
      </w:tr>
      <w:tr>
        <w:tc>
          <w:tcPr>
            <w:tcW w:type="dxa" w:w="4320"/>
            <w:vAlign w:val="center"/>
            <w:tcMar>
              <w:top w:w="100" w:type="dxa"/>
              <w:start w:w="100" w:type="dxa"/>
              <w:bottom w:w="100" w:type="dxa"/>
              <w:end w:w="100" w:type="dxa"/>
            </w:tcMar>
          </w:tcPr>
          <w:p>
            <w:pPr>
              <w:pStyle w:val="TableText"/>
            </w:pPr>
            <w:r>
              <w:t>FR-WEEK-004</w:t>
            </w:r>
          </w:p>
        </w:tc>
        <w:tc>
          <w:tcPr>
            <w:tcW w:type="dxa" w:w="4896"/>
            <w:vAlign w:val="center"/>
            <w:tcMar>
              <w:top w:w="100" w:type="dxa"/>
              <w:start w:w="100" w:type="dxa"/>
              <w:bottom w:w="100" w:type="dxa"/>
              <w:end w:w="100" w:type="dxa"/>
            </w:tcMar>
          </w:tcPr>
          <w:p>
            <w:pPr>
              <w:pStyle w:val="TableText"/>
            </w:pPr>
            <w:r>
              <w:t>TC-WEEK-004</w:t>
            </w:r>
          </w:p>
        </w:tc>
      </w:tr>
      <w:tr>
        <w:tc>
          <w:tcPr>
            <w:tcW w:type="dxa" w:w="4320"/>
            <w:vAlign w:val="center"/>
            <w:tcMar>
              <w:top w:w="100" w:type="dxa"/>
              <w:start w:w="100" w:type="dxa"/>
              <w:bottom w:w="100" w:type="dxa"/>
              <w:end w:w="100" w:type="dxa"/>
            </w:tcMar>
          </w:tcPr>
          <w:p>
            <w:pPr>
              <w:pStyle w:val="TableText"/>
            </w:pPr>
            <w:r>
              <w:t>FR-DASH-006</w:t>
            </w:r>
          </w:p>
        </w:tc>
        <w:tc>
          <w:tcPr>
            <w:tcW w:type="dxa" w:w="4896"/>
            <w:vAlign w:val="center"/>
            <w:tcMar>
              <w:top w:w="100" w:type="dxa"/>
              <w:start w:w="100" w:type="dxa"/>
              <w:bottom w:w="100" w:type="dxa"/>
              <w:end w:w="100" w:type="dxa"/>
            </w:tcMar>
          </w:tcPr>
          <w:p>
            <w:pPr>
              <w:pStyle w:val="TableText"/>
            </w:pPr>
            <w:r>
              <w:t>TC-DASH-006</w:t>
            </w:r>
          </w:p>
        </w:tc>
      </w:tr>
      <w:tr>
        <w:tc>
          <w:tcPr>
            <w:tcW w:type="dxa" w:w="4320"/>
            <w:vAlign w:val="center"/>
            <w:tcMar>
              <w:top w:w="100" w:type="dxa"/>
              <w:start w:w="100" w:type="dxa"/>
              <w:bottom w:w="100" w:type="dxa"/>
              <w:end w:w="100" w:type="dxa"/>
            </w:tcMar>
          </w:tcPr>
          <w:p>
            <w:pPr>
              <w:pStyle w:val="TableText"/>
            </w:pPr>
            <w:r>
              <w:t>FR-DATA-002</w:t>
            </w:r>
          </w:p>
        </w:tc>
        <w:tc>
          <w:tcPr>
            <w:tcW w:type="dxa" w:w="4896"/>
            <w:vAlign w:val="center"/>
            <w:tcMar>
              <w:top w:w="100" w:type="dxa"/>
              <w:start w:w="100" w:type="dxa"/>
              <w:bottom w:w="100" w:type="dxa"/>
              <w:end w:w="100" w:type="dxa"/>
            </w:tcMar>
          </w:tcPr>
          <w:p>
            <w:pPr>
              <w:pStyle w:val="TableText"/>
            </w:pPr>
            <w:r>
              <w:t>TC-DATA-002</w:t>
            </w:r>
          </w:p>
        </w:tc>
      </w:tr>
      <w:tr>
        <w:tc>
          <w:tcPr>
            <w:tcW w:type="dxa" w:w="4320"/>
            <w:vAlign w:val="center"/>
            <w:tcMar>
              <w:top w:w="100" w:type="dxa"/>
              <w:start w:w="100" w:type="dxa"/>
              <w:bottom w:w="100" w:type="dxa"/>
              <w:end w:w="100" w:type="dxa"/>
            </w:tcMar>
          </w:tcPr>
          <w:p>
            <w:pPr>
              <w:pStyle w:val="TableText"/>
            </w:pPr>
            <w:r>
              <w:t>FR-ERR-001</w:t>
            </w:r>
          </w:p>
        </w:tc>
        <w:tc>
          <w:tcPr>
            <w:tcW w:type="dxa" w:w="4896"/>
            <w:vAlign w:val="center"/>
            <w:tcMar>
              <w:top w:w="100" w:type="dxa"/>
              <w:start w:w="100" w:type="dxa"/>
              <w:bottom w:w="100" w:type="dxa"/>
              <w:end w:w="100" w:type="dxa"/>
            </w:tcMar>
          </w:tcPr>
          <w:p>
            <w:pPr>
              <w:pStyle w:val="TableText"/>
            </w:pPr>
            <w:r>
              <w:t>TC-ERR-001</w:t>
            </w:r>
          </w:p>
        </w:tc>
      </w:tr>
      <w:tr>
        <w:tc>
          <w:tcPr>
            <w:tcW w:type="dxa" w:w="4320"/>
            <w:vAlign w:val="center"/>
            <w:tcMar>
              <w:top w:w="100" w:type="dxa"/>
              <w:start w:w="100" w:type="dxa"/>
              <w:bottom w:w="100" w:type="dxa"/>
              <w:end w:w="100" w:type="dxa"/>
            </w:tcMar>
          </w:tcPr>
          <w:p>
            <w:pPr>
              <w:pStyle w:val="TableText"/>
            </w:pPr>
            <w:r>
              <w:t>FR-AI-001</w:t>
            </w:r>
          </w:p>
        </w:tc>
        <w:tc>
          <w:tcPr>
            <w:tcW w:type="dxa" w:w="4896"/>
            <w:vAlign w:val="center"/>
            <w:tcMar>
              <w:top w:w="100" w:type="dxa"/>
              <w:start w:w="100" w:type="dxa"/>
              <w:bottom w:w="100" w:type="dxa"/>
              <w:end w:w="100" w:type="dxa"/>
            </w:tcMar>
          </w:tcPr>
          <w:p>
            <w:pPr>
              <w:pStyle w:val="TableText"/>
            </w:pPr>
            <w:r>
              <w:t>TC-AI-001</w:t>
            </w:r>
          </w:p>
        </w:tc>
      </w:tr>
      <w:tr>
        <w:tc>
          <w:tcPr>
            <w:tcW w:type="dxa" w:w="4320"/>
            <w:vAlign w:val="center"/>
            <w:tcMar>
              <w:top w:w="100" w:type="dxa"/>
              <w:start w:w="100" w:type="dxa"/>
              <w:bottom w:w="100" w:type="dxa"/>
              <w:end w:w="100" w:type="dxa"/>
            </w:tcMar>
          </w:tcPr>
          <w:p>
            <w:pPr>
              <w:pStyle w:val="TableText"/>
            </w:pPr>
            <w:r>
              <w:t>NFR-ACC-001</w:t>
            </w:r>
          </w:p>
        </w:tc>
        <w:tc>
          <w:tcPr>
            <w:tcW w:type="dxa" w:w="4896"/>
            <w:vAlign w:val="center"/>
            <w:tcMar>
              <w:top w:w="100" w:type="dxa"/>
              <w:start w:w="100" w:type="dxa"/>
              <w:bottom w:w="100" w:type="dxa"/>
              <w:end w:w="100" w:type="dxa"/>
            </w:tcMar>
          </w:tcPr>
          <w:p>
            <w:pPr>
              <w:pStyle w:val="TableText"/>
            </w:pPr>
            <w:r>
              <w:t>GT-SUITE</w:t>
            </w:r>
          </w:p>
        </w:tc>
      </w:tr>
      <w:tr>
        <w:tc>
          <w:tcPr>
            <w:tcW w:type="dxa" w:w="4320"/>
            <w:vAlign w:val="center"/>
            <w:tcMar>
              <w:top w:w="100" w:type="dxa"/>
              <w:start w:w="100" w:type="dxa"/>
              <w:bottom w:w="100" w:type="dxa"/>
              <w:end w:w="100" w:type="dxa"/>
            </w:tcMar>
          </w:tcPr>
          <w:p>
            <w:pPr>
              <w:pStyle w:val="TableText"/>
            </w:pPr>
            <w:r>
              <w:t>NFR-PERF-001</w:t>
            </w:r>
          </w:p>
        </w:tc>
        <w:tc>
          <w:tcPr>
            <w:tcW w:type="dxa" w:w="4896"/>
            <w:vAlign w:val="center"/>
            <w:tcMar>
              <w:top w:w="100" w:type="dxa"/>
              <w:start w:w="100" w:type="dxa"/>
              <w:bottom w:w="100" w:type="dxa"/>
              <w:end w:w="100" w:type="dxa"/>
            </w:tcMar>
          </w:tcPr>
          <w:p>
            <w:pPr>
              <w:pStyle w:val="TableText"/>
            </w:pPr>
            <w:r>
              <w:t>PT-001</w:t>
            </w:r>
          </w:p>
        </w:tc>
      </w:tr>
      <w:tr>
        <w:tc>
          <w:tcPr>
            <w:tcW w:type="dxa" w:w="4320"/>
            <w:vAlign w:val="center"/>
            <w:tcMar>
              <w:top w:w="100" w:type="dxa"/>
              <w:start w:w="100" w:type="dxa"/>
              <w:bottom w:w="100" w:type="dxa"/>
              <w:end w:w="100" w:type="dxa"/>
            </w:tcMar>
          </w:tcPr>
          <w:p>
            <w:pPr>
              <w:pStyle w:val="TableText"/>
            </w:pPr>
            <w:r>
              <w:t>NFR-REL-001</w:t>
            </w:r>
          </w:p>
        </w:tc>
        <w:tc>
          <w:tcPr>
            <w:tcW w:type="dxa" w:w="4896"/>
            <w:vAlign w:val="center"/>
            <w:tcMar>
              <w:top w:w="100" w:type="dxa"/>
              <w:start w:w="100" w:type="dxa"/>
              <w:bottom w:w="100" w:type="dxa"/>
              <w:end w:w="100" w:type="dxa"/>
            </w:tcMar>
          </w:tcPr>
          <w:p>
            <w:pPr>
              <w:pStyle w:val="TableText"/>
            </w:pPr>
            <w:r>
              <w:t>RT-001</w:t>
            </w:r>
          </w:p>
        </w:tc>
      </w:tr>
      <w:tr>
        <w:tc>
          <w:tcPr>
            <w:tcW w:type="dxa" w:w="4320"/>
            <w:vAlign w:val="center"/>
            <w:tcMar>
              <w:top w:w="100" w:type="dxa"/>
              <w:start w:w="100" w:type="dxa"/>
              <w:bottom w:w="100" w:type="dxa"/>
              <w:end w:w="100" w:type="dxa"/>
            </w:tcMar>
          </w:tcPr>
          <w:p>
            <w:pPr>
              <w:pStyle w:val="TableText"/>
            </w:pPr>
            <w:r>
              <w:t>NFR-SEC-005</w:t>
            </w:r>
          </w:p>
        </w:tc>
        <w:tc>
          <w:tcPr>
            <w:tcW w:type="dxa" w:w="4896"/>
            <w:vAlign w:val="center"/>
            <w:tcMar>
              <w:top w:w="100" w:type="dxa"/>
              <w:start w:w="100" w:type="dxa"/>
              <w:bottom w:w="100" w:type="dxa"/>
              <w:end w:w="100" w:type="dxa"/>
            </w:tcMar>
          </w:tcPr>
          <w:p>
            <w:pPr>
              <w:pStyle w:val="TableText"/>
            </w:pPr>
            <w:r>
              <w:t>ST-005</w:t>
            </w:r>
          </w:p>
        </w:tc>
      </w:tr>
      <w:tr>
        <w:tc>
          <w:tcPr>
            <w:tcW w:type="dxa" w:w="4320"/>
            <w:vAlign w:val="center"/>
            <w:tcMar>
              <w:top w:w="100" w:type="dxa"/>
              <w:start w:w="100" w:type="dxa"/>
              <w:bottom w:w="100" w:type="dxa"/>
              <w:end w:w="100" w:type="dxa"/>
            </w:tcMar>
          </w:tcPr>
          <w:p>
            <w:pPr>
              <w:pStyle w:val="TableText"/>
            </w:pPr>
            <w:r>
              <w:t>NFR-SEC-006</w:t>
            </w:r>
          </w:p>
        </w:tc>
        <w:tc>
          <w:tcPr>
            <w:tcW w:type="dxa" w:w="4896"/>
            <w:vAlign w:val="center"/>
            <w:tcMar>
              <w:top w:w="100" w:type="dxa"/>
              <w:start w:w="100" w:type="dxa"/>
              <w:bottom w:w="100" w:type="dxa"/>
              <w:end w:w="100" w:type="dxa"/>
            </w:tcMar>
          </w:tcPr>
          <w:p>
            <w:pPr>
              <w:pStyle w:val="TableText"/>
            </w:pPr>
            <w:r>
              <w:t>ST-006</w:t>
            </w:r>
          </w:p>
        </w:tc>
      </w:tr>
      <w:tr>
        <w:tc>
          <w:tcPr>
            <w:tcW w:type="dxa" w:w="4320"/>
            <w:vAlign w:val="center"/>
            <w:tcMar>
              <w:top w:w="100" w:type="dxa"/>
              <w:start w:w="100" w:type="dxa"/>
              <w:bottom w:w="100" w:type="dxa"/>
              <w:end w:w="100" w:type="dxa"/>
            </w:tcMar>
          </w:tcPr>
          <w:p>
            <w:pPr>
              <w:pStyle w:val="TableText"/>
            </w:pPr>
            <w:r>
              <w:t>NFR-SEC-009</w:t>
            </w:r>
          </w:p>
        </w:tc>
        <w:tc>
          <w:tcPr>
            <w:tcW w:type="dxa" w:w="4896"/>
            <w:vAlign w:val="center"/>
            <w:tcMar>
              <w:top w:w="100" w:type="dxa"/>
              <w:start w:w="100" w:type="dxa"/>
              <w:bottom w:w="100" w:type="dxa"/>
              <w:end w:w="100" w:type="dxa"/>
            </w:tcMar>
          </w:tcPr>
          <w:p>
            <w:pPr>
              <w:pStyle w:val="TableText"/>
            </w:pPr>
            <w:r>
              <w:t>ST-009</w:t>
            </w:r>
          </w:p>
        </w:tc>
      </w:tr>
      <w:tr>
        <w:tc>
          <w:tcPr>
            <w:tcW w:type="dxa" w:w="4320"/>
            <w:vAlign w:val="center"/>
            <w:tcMar>
              <w:top w:w="100" w:type="dxa"/>
              <w:start w:w="100" w:type="dxa"/>
              <w:bottom w:w="100" w:type="dxa"/>
              <w:end w:w="100" w:type="dxa"/>
            </w:tcMar>
          </w:tcPr>
          <w:p>
            <w:pPr>
              <w:pStyle w:val="TableText"/>
            </w:pPr>
            <w:r>
              <w:t>NFR-A11Y-001</w:t>
            </w:r>
          </w:p>
        </w:tc>
        <w:tc>
          <w:tcPr>
            <w:tcW w:type="dxa" w:w="4896"/>
            <w:vAlign w:val="center"/>
            <w:tcMar>
              <w:top w:w="100" w:type="dxa"/>
              <w:start w:w="100" w:type="dxa"/>
              <w:bottom w:w="100" w:type="dxa"/>
              <w:end w:w="100" w:type="dxa"/>
            </w:tcMar>
          </w:tcPr>
          <w:p>
            <w:pPr>
              <w:pStyle w:val="TableText"/>
            </w:pPr>
            <w:r>
              <w:t>AT-A11Y-001</w:t>
            </w:r>
          </w:p>
        </w:tc>
      </w:tr>
      <w:tr>
        <w:tc>
          <w:tcPr>
            <w:tcW w:type="dxa" w:w="4320"/>
            <w:vAlign w:val="center"/>
            <w:tcMar>
              <w:top w:w="100" w:type="dxa"/>
              <w:start w:w="100" w:type="dxa"/>
              <w:bottom w:w="100" w:type="dxa"/>
              <w:end w:w="100" w:type="dxa"/>
            </w:tcMar>
          </w:tcPr>
          <w:p>
            <w:pPr>
              <w:pStyle w:val="TableText"/>
            </w:pPr>
            <w:r>
              <w:t>NFR-USAB-001</w:t>
            </w:r>
          </w:p>
        </w:tc>
        <w:tc>
          <w:tcPr>
            <w:tcW w:type="dxa" w:w="4896"/>
            <w:vAlign w:val="center"/>
            <w:tcMar>
              <w:top w:w="100" w:type="dxa"/>
              <w:start w:w="100" w:type="dxa"/>
              <w:bottom w:w="100" w:type="dxa"/>
              <w:end w:w="100" w:type="dxa"/>
            </w:tcMar>
          </w:tcPr>
          <w:p>
            <w:pPr>
              <w:pStyle w:val="TableText"/>
            </w:pPr>
            <w:r>
              <w:t>UT-USAB-001</w:t>
            </w:r>
          </w:p>
        </w:tc>
      </w:tr>
      <w:tr>
        <w:tc>
          <w:tcPr>
            <w:tcW w:type="dxa" w:w="4320"/>
            <w:vAlign w:val="center"/>
            <w:tcMar>
              <w:top w:w="100" w:type="dxa"/>
              <w:start w:w="100" w:type="dxa"/>
              <w:bottom w:w="100" w:type="dxa"/>
              <w:end w:w="100" w:type="dxa"/>
            </w:tcMar>
          </w:tcPr>
          <w:p>
            <w:pPr>
              <w:pStyle w:val="TableText"/>
            </w:pPr>
            <w:r>
              <w:t>NFR-MNT-002</w:t>
            </w:r>
          </w:p>
        </w:tc>
        <w:tc>
          <w:tcPr>
            <w:tcW w:type="dxa" w:w="4896"/>
            <w:vAlign w:val="center"/>
            <w:tcMar>
              <w:top w:w="100" w:type="dxa"/>
              <w:start w:w="100" w:type="dxa"/>
              <w:bottom w:w="100" w:type="dxa"/>
              <w:end w:w="100" w:type="dxa"/>
            </w:tcMar>
          </w:tcPr>
          <w:p>
            <w:pPr>
              <w:pStyle w:val="TableText"/>
            </w:pPr>
            <w:r>
              <w:t>CT-MNT-002</w:t>
            </w:r>
          </w:p>
        </w:tc>
      </w:tr>
      <w:tr>
        <w:tc>
          <w:tcPr>
            <w:tcW w:type="dxa" w:w="4320"/>
            <w:vAlign w:val="center"/>
            <w:tcMar>
              <w:top w:w="100" w:type="dxa"/>
              <w:start w:w="100" w:type="dxa"/>
              <w:bottom w:w="100" w:type="dxa"/>
              <w:end w:w="100" w:type="dxa"/>
            </w:tcMar>
          </w:tcPr>
          <w:p>
            <w:pPr>
              <w:pStyle w:val="TableText"/>
            </w:pPr>
            <w:r>
              <w:t>NFR-OBS-001</w:t>
            </w:r>
          </w:p>
        </w:tc>
        <w:tc>
          <w:tcPr>
            <w:tcW w:type="dxa" w:w="4896"/>
            <w:vAlign w:val="center"/>
            <w:tcMar>
              <w:top w:w="100" w:type="dxa"/>
              <w:start w:w="100" w:type="dxa"/>
              <w:bottom w:w="100" w:type="dxa"/>
              <w:end w:w="100" w:type="dxa"/>
            </w:tcMar>
          </w:tcPr>
          <w:p>
            <w:pPr>
              <w:pStyle w:val="TableText"/>
            </w:pPr>
            <w:r>
              <w:t>OT-OBS-001</w:t>
            </w:r>
          </w:p>
        </w:tc>
      </w:tr>
      <w:tr>
        <w:tc>
          <w:tcPr>
            <w:tcW w:type="dxa" w:w="4320"/>
            <w:vAlign w:val="center"/>
            <w:tcMar>
              <w:top w:w="100" w:type="dxa"/>
              <w:start w:w="100" w:type="dxa"/>
              <w:bottom w:w="100" w:type="dxa"/>
              <w:end w:w="100" w:type="dxa"/>
            </w:tcMar>
          </w:tcPr>
          <w:p>
            <w:pPr>
              <w:pStyle w:val="TableText"/>
            </w:pPr>
            <w:r>
              <w:t>NFR-BCP-001</w:t>
            </w:r>
          </w:p>
        </w:tc>
        <w:tc>
          <w:tcPr>
            <w:tcW w:type="dxa" w:w="4896"/>
            <w:vAlign w:val="center"/>
            <w:tcMar>
              <w:top w:w="100" w:type="dxa"/>
              <w:start w:w="100" w:type="dxa"/>
              <w:bottom w:w="100" w:type="dxa"/>
              <w:end w:w="100" w:type="dxa"/>
            </w:tcMar>
          </w:tcPr>
          <w:p>
            <w:pPr>
              <w:pStyle w:val="TableText"/>
            </w:pPr>
            <w:r>
              <w:t>BCP-001</w:t>
            </w:r>
          </w:p>
        </w:tc>
      </w:tr>
    </w:tbl>
    <w:p>
      <w:pPr>
        <w:spacing w:after="20"/>
      </w:pPr>
    </w:p>
    <w:p>
      <w:r>
        <w:t>Before final release, the QA lead will audit the complete SRS matrix to confirm that every Must requirement has linked passing evidence.</w:t>
      </w:r>
    </w:p>
    <w:p>
      <w:pPr>
        <w:pStyle w:val="Heading2"/>
        <w:keepNext/>
      </w:pPr>
      <w:r>
        <w:t>7.8 Test Execution Sequence</w:t>
      </w:r>
    </w:p>
    <w:p>
      <w:pPr>
        <w:ind w:left="403" w:hanging="317"/>
      </w:pPr>
      <w:r>
        <w:rPr>
          <w:b w:val="0"/>
        </w:rPr>
        <w:t xml:space="preserve">1. </w:t>
      </w:r>
      <w:r>
        <w:t>Static formatting and lint checks.</w:t>
      </w:r>
    </w:p>
    <w:p>
      <w:pPr>
        <w:ind w:left="403" w:hanging="317"/>
      </w:pPr>
      <w:r>
        <w:rPr>
          <w:b w:val="0"/>
        </w:rPr>
        <w:t xml:space="preserve">2. </w:t>
      </w:r>
      <w:r>
        <w:t>SAST and secret scan.</w:t>
      </w:r>
    </w:p>
    <w:p>
      <w:pPr>
        <w:ind w:left="403" w:hanging="317"/>
      </w:pPr>
      <w:r>
        <w:rPr>
          <w:b w:val="0"/>
        </w:rPr>
        <w:t xml:space="preserve">3. </w:t>
      </w:r>
      <w:r>
        <w:t>Unit tests.</w:t>
      </w:r>
    </w:p>
    <w:p>
      <w:pPr>
        <w:ind w:left="403" w:hanging="317"/>
      </w:pPr>
      <w:r>
        <w:rPr>
          <w:b w:val="0"/>
        </w:rPr>
        <w:t xml:space="preserve">4. </w:t>
      </w:r>
      <w:r>
        <w:t>pace-v1 golden tests.</w:t>
      </w:r>
    </w:p>
    <w:p>
      <w:pPr>
        <w:ind w:left="403" w:hanging="317"/>
      </w:pPr>
      <w:r>
        <w:rPr>
          <w:b w:val="0"/>
        </w:rPr>
        <w:t xml:space="preserve">5. </w:t>
      </w:r>
      <w:r>
        <w:t>Coverage measurement.</w:t>
      </w:r>
    </w:p>
    <w:p>
      <w:pPr>
        <w:ind w:left="403" w:hanging="317"/>
      </w:pPr>
      <w:r>
        <w:rPr>
          <w:b w:val="0"/>
        </w:rPr>
        <w:t xml:space="preserve">6. </w:t>
      </w:r>
      <w:r>
        <w:t>API/contract tests.</w:t>
      </w:r>
    </w:p>
    <w:p>
      <w:pPr>
        <w:ind w:left="403" w:hanging="317"/>
      </w:pPr>
      <w:r>
        <w:rPr>
          <w:b w:val="0"/>
        </w:rPr>
        <w:t xml:space="preserve">7. </w:t>
      </w:r>
      <w:r>
        <w:t>Database integration tests.</w:t>
      </w:r>
    </w:p>
    <w:p>
      <w:pPr>
        <w:ind w:left="403" w:hanging="317"/>
      </w:pPr>
      <w:r>
        <w:rPr>
          <w:b w:val="0"/>
        </w:rPr>
        <w:t xml:space="preserve">8. </w:t>
      </w:r>
      <w:r>
        <w:t>Frontend/backend integration tests.</w:t>
      </w:r>
    </w:p>
    <w:p>
      <w:pPr>
        <w:ind w:left="403" w:hanging="317"/>
      </w:pPr>
      <w:r>
        <w:rPr>
          <w:b w:val="0"/>
        </w:rPr>
        <w:t xml:space="preserve">9. </w:t>
      </w:r>
      <w:r>
        <w:t>System and end-to-end tests.</w:t>
      </w:r>
    </w:p>
    <w:p>
      <w:pPr>
        <w:ind w:left="403" w:hanging="317"/>
      </w:pPr>
      <w:r>
        <w:rPr>
          <w:b w:val="0"/>
        </w:rPr>
        <w:t xml:space="preserve">10. </w:t>
      </w:r>
      <w:r>
        <w:t>Negative and boundary tests.</w:t>
      </w:r>
    </w:p>
    <w:p>
      <w:pPr>
        <w:ind w:left="403" w:hanging="317"/>
      </w:pPr>
      <w:r>
        <w:rPr>
          <w:b w:val="0"/>
        </w:rPr>
        <w:t xml:space="preserve">11. </w:t>
      </w:r>
      <w:r>
        <w:t>Cross-browser tests.</w:t>
      </w:r>
    </w:p>
    <w:p>
      <w:pPr>
        <w:ind w:left="403" w:hanging="317"/>
      </w:pPr>
      <w:r>
        <w:rPr>
          <w:b w:val="0"/>
        </w:rPr>
        <w:t xml:space="preserve">12. </w:t>
      </w:r>
      <w:r>
        <w:t>Performance/load tests.</w:t>
      </w:r>
    </w:p>
    <w:p>
      <w:pPr>
        <w:ind w:left="403" w:hanging="317"/>
      </w:pPr>
      <w:r>
        <w:rPr>
          <w:b w:val="0"/>
        </w:rPr>
        <w:t xml:space="preserve">13. </w:t>
      </w:r>
      <w:r>
        <w:t>Security tests.</w:t>
      </w:r>
    </w:p>
    <w:p>
      <w:pPr>
        <w:ind w:left="403" w:hanging="317"/>
      </w:pPr>
      <w:r>
        <w:rPr>
          <w:b w:val="0"/>
        </w:rPr>
        <w:t xml:space="preserve">14. </w:t>
      </w:r>
      <w:r>
        <w:t>Accessibility tests.</w:t>
      </w:r>
    </w:p>
    <w:p>
      <w:pPr>
        <w:ind w:left="403" w:hanging="317"/>
      </w:pPr>
      <w:r>
        <w:rPr>
          <w:b w:val="0"/>
        </w:rPr>
        <w:t xml:space="preserve">15. </w:t>
      </w:r>
      <w:r>
        <w:t>Reliability and recovery tests.</w:t>
      </w:r>
    </w:p>
    <w:p>
      <w:pPr>
        <w:ind w:left="403" w:hanging="317"/>
      </w:pPr>
      <w:r>
        <w:rPr>
          <w:b w:val="0"/>
        </w:rPr>
        <w:t xml:space="preserve">16. </w:t>
      </w:r>
      <w:r>
        <w:t>Regression suite.</w:t>
      </w:r>
    </w:p>
    <w:p>
      <w:pPr>
        <w:ind w:left="403" w:hanging="317"/>
      </w:pPr>
      <w:r>
        <w:rPr>
          <w:b w:val="0"/>
        </w:rPr>
        <w:t xml:space="preserve">17. </w:t>
      </w:r>
      <w:r>
        <w:t>User acceptance/usability testing.</w:t>
      </w:r>
    </w:p>
    <w:p>
      <w:pPr>
        <w:ind w:left="403" w:hanging="317"/>
      </w:pPr>
      <w:r>
        <w:rPr>
          <w:b w:val="0"/>
        </w:rPr>
        <w:t xml:space="preserve">18. </w:t>
      </w:r>
      <w:r>
        <w:t>Final release acceptance demonstration.</w:t>
      </w:r>
    </w:p>
    <w:p>
      <w:r>
        <w:t>A failure at a mandatory CI gate prevents the code from proceeding to merge or release.</w:t>
      </w:r>
    </w:p>
    <w:p>
      <w:pPr>
        <w:pStyle w:val="Heading2"/>
        <w:keepNext/>
      </w:pPr>
      <w:r>
        <w:t>7.9 AI-Generated Code and the Spec-Conformance Trap</w:t>
      </w:r>
    </w:p>
    <w:p>
      <w:r>
        <w:t>AI may assist with implementation and test generation, but AI-produced output is not treated as authoritative. A passing AI-generated test proves only that the implementation matches that particular test. It does not prove that either the test or the implementation matches the actual requirement. This is the spec-conformance trap.</w:t>
      </w:r>
    </w:p>
    <w:p>
      <w:r>
        <w:t>For example, an AI system could generate both an incorrect pace-v1 implementation and an incorrect test expecting the same wrong answer. The test would pass even though the product violates the SRS.</w:t>
      </w:r>
    </w:p>
    <w:p>
      <w:r>
        <w:t>To prevent this:</w:t>
      </w:r>
    </w:p>
    <w:p>
      <w:pPr>
        <w:pStyle w:val="ListBullet"/>
      </w:pPr>
      <w:r>
        <w:t>Expected financial results will be calculated independently before being encoded into automated tests.</w:t>
      </w:r>
    </w:p>
    <w:p>
      <w:pPr>
        <w:pStyle w:val="ListBullet"/>
      </w:pPr>
      <w:r>
        <w:t>Golden-test expected values will be manually reviewed by the team.</w:t>
      </w:r>
    </w:p>
    <w:p>
      <w:pPr>
        <w:pStyle w:val="ListBullet"/>
      </w:pPr>
      <w:r>
        <w:t>Test cases will reference SRS requirement IDs.</w:t>
      </w:r>
    </w:p>
    <w:p>
      <w:pPr>
        <w:pStyle w:val="ListBullet"/>
      </w:pPr>
      <w:r>
        <w:t>Reviewers will compare AI-generated tests directly against EARS requirements.</w:t>
      </w:r>
    </w:p>
    <w:p>
      <w:pPr>
        <w:pStyle w:val="ListBullet"/>
      </w:pPr>
      <w:r>
        <w:t>Human-authored negative and boundary tests will supplement generated tests.</w:t>
      </w:r>
    </w:p>
    <w:p>
      <w:pPr>
        <w:pStyle w:val="ListBullet"/>
      </w:pPr>
      <w:r>
        <w:t>Tests will intentionally challenge assumptions made by AI-generated code.</w:t>
      </w:r>
    </w:p>
    <w:p>
      <w:pPr>
        <w:pStyle w:val="ListBullet"/>
      </w:pPr>
      <w:r>
        <w:t>Code and tests generated together by the same AI interaction will receive particular scrutiny.</w:t>
      </w:r>
    </w:p>
    <w:p>
      <w:pPr>
        <w:pStyle w:val="ListBullet"/>
      </w:pPr>
      <w:r>
        <w:t>AI-generated dependencies will not be added without human verification.</w:t>
      </w:r>
    </w:p>
    <w:p>
      <w:r>
        <w:t>Human-added edge and error cases include zero capacity, negative capacity, a completed goal, missing required inputs, target-date boundaries, month-end recurrence, unconfirmed income, very large but valid money values, invalid negative values, duplicate Active goal, repeated identical inputs, transaction failure during snapshot creation, unauthorized cross-user access, expired session, excess failed login attempts, AI service unavailable, and malformed or malicious user input.</w:t>
      </w:r>
    </w:p>
    <w:p>
      <w:pPr>
        <w:pStyle w:val="Heading2"/>
        <w:keepNext/>
      </w:pPr>
      <w:r>
        <w:t>7.10 CI Test Gates</w:t>
      </w:r>
    </w:p>
    <w:p>
      <w:r>
        <w:t>Every pull request must pass the automated quality pipeline before merge. Required gates are:</w:t>
      </w:r>
    </w:p>
    <w:p>
      <w:pPr>
        <w:ind w:left="403" w:hanging="317"/>
      </w:pPr>
      <w:r>
        <w:rPr>
          <w:b w:val="0"/>
        </w:rPr>
        <w:t xml:space="preserve">1. </w:t>
      </w:r>
      <w:r>
        <w:t>Build succeeds.</w:t>
      </w:r>
    </w:p>
    <w:p>
      <w:pPr>
        <w:ind w:left="403" w:hanging="317"/>
      </w:pPr>
      <w:r>
        <w:rPr>
          <w:b w:val="0"/>
        </w:rPr>
        <w:t xml:space="preserve">2. </w:t>
      </w:r>
      <w:r>
        <w:t>Formatting/lint checks pass.</w:t>
      </w:r>
    </w:p>
    <w:p>
      <w:pPr>
        <w:ind w:left="403" w:hanging="317"/>
      </w:pPr>
      <w:r>
        <w:rPr>
          <w:b w:val="0"/>
        </w:rPr>
        <w:t xml:space="preserve">3. </w:t>
      </w:r>
      <w:r>
        <w:t>Unit tests pass.</w:t>
      </w:r>
    </w:p>
    <w:p>
      <w:pPr>
        <w:ind w:left="403" w:hanging="317"/>
      </w:pPr>
      <w:r>
        <w:rPr>
          <w:b w:val="0"/>
        </w:rPr>
        <w:t xml:space="preserve">4. </w:t>
      </w:r>
      <w:r>
        <w:t>Golden tests pass.</w:t>
      </w:r>
    </w:p>
    <w:p>
      <w:pPr>
        <w:ind w:left="403" w:hanging="317"/>
      </w:pPr>
      <w:r>
        <w:rPr>
          <w:b w:val="0"/>
        </w:rPr>
        <w:t xml:space="preserve">5. </w:t>
      </w:r>
      <w:r>
        <w:t>Integration tests pass.</w:t>
      </w:r>
    </w:p>
    <w:p>
      <w:pPr>
        <w:ind w:left="403" w:hanging="317"/>
      </w:pPr>
      <w:r>
        <w:rPr>
          <w:b w:val="0"/>
        </w:rPr>
        <w:t xml:space="preserve">6. </w:t>
      </w:r>
      <w:r>
        <w:t>Pace-engine branch coverage &gt;=90%.</w:t>
      </w:r>
    </w:p>
    <w:p>
      <w:pPr>
        <w:ind w:left="403" w:hanging="317"/>
      </w:pPr>
      <w:r>
        <w:rPr>
          <w:b w:val="0"/>
        </w:rPr>
        <w:t xml:space="preserve">7. </w:t>
      </w:r>
      <w:r>
        <w:t>Backend line coverage &gt;=75%.</w:t>
      </w:r>
    </w:p>
    <w:p>
      <w:pPr>
        <w:ind w:left="403" w:hanging="317"/>
      </w:pPr>
      <w:r>
        <w:rPr>
          <w:b w:val="0"/>
        </w:rPr>
        <w:t xml:space="preserve">8. </w:t>
      </w:r>
      <w:r>
        <w:t>SAST passes.</w:t>
      </w:r>
    </w:p>
    <w:p>
      <w:pPr>
        <w:ind w:left="403" w:hanging="317"/>
      </w:pPr>
      <w:r>
        <w:rPr>
          <w:b w:val="0"/>
        </w:rPr>
        <w:t xml:space="preserve">9. </w:t>
      </w:r>
      <w:r>
        <w:t>Dependency scan has no unresolved Critical/High issue.</w:t>
      </w:r>
    </w:p>
    <w:p>
      <w:pPr>
        <w:ind w:left="403" w:hanging="317"/>
      </w:pPr>
      <w:r>
        <w:rPr>
          <w:b w:val="0"/>
        </w:rPr>
        <w:t xml:space="preserve">10. </w:t>
      </w:r>
      <w:r>
        <w:t>Secret scan passes.</w:t>
      </w:r>
    </w:p>
    <w:p>
      <w:pPr>
        <w:ind w:left="403" w:hanging="317"/>
      </w:pPr>
      <w:r>
        <w:rPr>
          <w:b w:val="0"/>
        </w:rPr>
        <w:t xml:space="preserve">11. </w:t>
      </w:r>
      <w:r>
        <w:t>Required reviewer approves the change.</w:t>
      </w:r>
    </w:p>
    <w:p>
      <w:r>
        <w:t>The protected main branch will prevent bypassing these gates.</w:t>
      </w:r>
    </w:p>
    <w:p>
      <w:pPr>
        <w:pStyle w:val="Heading1"/>
        <w:keepNext/>
      </w:pPr>
      <w:r>
        <w:t>8. Problem Reporting and Corrective Action</w:t>
      </w:r>
    </w:p>
    <w:p>
      <w:r>
        <w:t>All discovered defects will be logged in GitHub Issues.</w:t>
      </w:r>
    </w:p>
    <w:p>
      <w:pPr>
        <w:pStyle w:val="Heading2"/>
        <w:keepNext/>
      </w:pPr>
      <w:r>
        <w:t>8.1 Defect Categories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016"/>
            <w:shd w:fill="166753"/>
            <w:vAlign w:val="center"/>
            <w:tcMar>
              <w:top w:w="110" w:type="dxa"/>
              <w:start w:w="100" w:type="dxa"/>
              <w:bottom w:w="110" w:type="dxa"/>
              <w:end w:w="100" w:type="dxa"/>
            </w:tcMar>
          </w:tcPr>
          <w:p>
            <w:pPr>
              <w:pStyle w:val="TableText"/>
              <w:jc w:val="center"/>
            </w:pPr>
            <w:r>
              <w:rPr>
                <w:b/>
                <w:color w:val="FFFFFF"/>
              </w:rPr>
              <w:t>Severity</w:t>
            </w:r>
          </w:p>
        </w:tc>
        <w:tc>
          <w:tcPr>
            <w:tcW w:type="dxa" w:w="7200"/>
            <w:shd w:fill="166753"/>
            <w:vAlign w:val="center"/>
            <w:tcMar>
              <w:top w:w="110" w:type="dxa"/>
              <w:start w:w="100" w:type="dxa"/>
              <w:bottom w:w="110" w:type="dxa"/>
              <w:end w:w="100" w:type="dxa"/>
            </w:tcMar>
          </w:tcPr>
          <w:p>
            <w:pPr>
              <w:pStyle w:val="TableText"/>
              <w:jc w:val="center"/>
            </w:pPr>
            <w:r>
              <w:rPr>
                <w:b/>
                <w:color w:val="FFFFFF"/>
              </w:rPr>
              <w:t>Definition</w:t>
            </w:r>
          </w:p>
        </w:tc>
      </w:tr>
      <w:tr>
        <w:tc>
          <w:tcPr>
            <w:tcW w:type="dxa" w:w="2016"/>
            <w:vAlign w:val="center"/>
            <w:tcMar>
              <w:top w:w="100" w:type="dxa"/>
              <w:start w:w="100" w:type="dxa"/>
              <w:bottom w:w="100" w:type="dxa"/>
              <w:end w:w="100" w:type="dxa"/>
            </w:tcMar>
          </w:tcPr>
          <w:p>
            <w:pPr>
              <w:pStyle w:val="TableText"/>
            </w:pPr>
            <w:r>
              <w:t>Critical</w:t>
            </w:r>
          </w:p>
        </w:tc>
        <w:tc>
          <w:tcPr>
            <w:tcW w:type="dxa" w:w="7200"/>
            <w:vAlign w:val="center"/>
            <w:tcMar>
              <w:top w:w="100" w:type="dxa"/>
              <w:start w:w="100" w:type="dxa"/>
              <w:bottom w:w="100" w:type="dxa"/>
              <w:end w:w="100" w:type="dxa"/>
            </w:tcMar>
          </w:tcPr>
          <w:p>
            <w:pPr>
              <w:pStyle w:val="TableText"/>
            </w:pPr>
            <w:r>
              <w:t>System unusable; incorrect financial guidance with broad impact; security breach; data loss or cross-user data exposure.</w:t>
            </w:r>
          </w:p>
        </w:tc>
      </w:tr>
      <w:tr>
        <w:tc>
          <w:tcPr>
            <w:tcW w:type="dxa" w:w="2016"/>
            <w:vAlign w:val="center"/>
            <w:tcMar>
              <w:top w:w="100" w:type="dxa"/>
              <w:start w:w="100" w:type="dxa"/>
              <w:bottom w:w="100" w:type="dxa"/>
              <w:end w:w="100" w:type="dxa"/>
            </w:tcMar>
          </w:tcPr>
          <w:p>
            <w:pPr>
              <w:pStyle w:val="TableText"/>
            </w:pPr>
            <w:r>
              <w:t>High</w:t>
            </w:r>
          </w:p>
        </w:tc>
        <w:tc>
          <w:tcPr>
            <w:tcW w:type="dxa" w:w="7200"/>
            <w:vAlign w:val="center"/>
            <w:tcMar>
              <w:top w:w="100" w:type="dxa"/>
              <w:start w:w="100" w:type="dxa"/>
              <w:bottom w:w="100" w:type="dxa"/>
              <w:end w:w="100" w:type="dxa"/>
            </w:tcMar>
          </w:tcPr>
          <w:p>
            <w:pPr>
              <w:pStyle w:val="TableText"/>
            </w:pPr>
            <w:r>
              <w:t>Major required feature unavailable; major incorrect calculation; authentication/authorization failure; release-blocking security problem.</w:t>
            </w:r>
          </w:p>
        </w:tc>
      </w:tr>
      <w:tr>
        <w:tc>
          <w:tcPr>
            <w:tcW w:type="dxa" w:w="2016"/>
            <w:vAlign w:val="center"/>
            <w:tcMar>
              <w:top w:w="100" w:type="dxa"/>
              <w:start w:w="100" w:type="dxa"/>
              <w:bottom w:w="100" w:type="dxa"/>
              <w:end w:w="100" w:type="dxa"/>
            </w:tcMar>
          </w:tcPr>
          <w:p>
            <w:pPr>
              <w:pStyle w:val="TableText"/>
            </w:pPr>
            <w:r>
              <w:t>Medium</w:t>
            </w:r>
          </w:p>
        </w:tc>
        <w:tc>
          <w:tcPr>
            <w:tcW w:type="dxa" w:w="7200"/>
            <w:vAlign w:val="center"/>
            <w:tcMar>
              <w:top w:w="100" w:type="dxa"/>
              <w:start w:w="100" w:type="dxa"/>
              <w:bottom w:w="100" w:type="dxa"/>
              <w:end w:w="100" w:type="dxa"/>
            </w:tcMar>
          </w:tcPr>
          <w:p>
            <w:pPr>
              <w:pStyle w:val="TableText"/>
            </w:pPr>
            <w:r>
              <w:t>Partial feature degradation; incorrect secondary behavior with workaround; significant usability/accessibility issue.</w:t>
            </w:r>
          </w:p>
        </w:tc>
      </w:tr>
      <w:tr>
        <w:tc>
          <w:tcPr>
            <w:tcW w:type="dxa" w:w="2016"/>
            <w:vAlign w:val="center"/>
            <w:tcMar>
              <w:top w:w="100" w:type="dxa"/>
              <w:start w:w="100" w:type="dxa"/>
              <w:bottom w:w="100" w:type="dxa"/>
              <w:end w:w="100" w:type="dxa"/>
            </w:tcMar>
          </w:tcPr>
          <w:p>
            <w:pPr>
              <w:pStyle w:val="TableText"/>
            </w:pPr>
            <w:r>
              <w:t>Low</w:t>
            </w:r>
          </w:p>
        </w:tc>
        <w:tc>
          <w:tcPr>
            <w:tcW w:type="dxa" w:w="7200"/>
            <w:vAlign w:val="center"/>
            <w:tcMar>
              <w:top w:w="100" w:type="dxa"/>
              <w:start w:w="100" w:type="dxa"/>
              <w:bottom w:w="100" w:type="dxa"/>
              <w:end w:w="100" w:type="dxa"/>
            </w:tcMar>
          </w:tcPr>
          <w:p>
            <w:pPr>
              <w:pStyle w:val="TableText"/>
            </w:pPr>
            <w:r>
              <w:t>Cosmetic issue; minor wording/layout problem; non-blocking inconvenience.</w:t>
            </w:r>
          </w:p>
        </w:tc>
      </w:tr>
    </w:tbl>
    <w:p>
      <w:pPr>
        <w:spacing w:after="20"/>
      </w:pPr>
    </w:p>
    <w:p>
      <w:pPr>
        <w:pStyle w:val="Heading2"/>
        <w:keepNext/>
      </w:pPr>
      <w:r>
        <w:t>8.2 Defect Workflow</w:t>
      </w:r>
    </w:p>
    <w:p>
      <w:pPr>
        <w:ind w:left="403" w:hanging="317"/>
      </w:pPr>
      <w:r>
        <w:rPr>
          <w:b w:val="0"/>
        </w:rPr>
        <w:t xml:space="preserve">1. </w:t>
      </w:r>
      <w:r>
        <w:t>Discover defect.</w:t>
      </w:r>
    </w:p>
    <w:p>
      <w:pPr>
        <w:ind w:left="403" w:hanging="317"/>
      </w:pPr>
      <w:r>
        <w:rPr>
          <w:b w:val="0"/>
        </w:rPr>
        <w:t xml:space="preserve">2. </w:t>
      </w:r>
      <w:r>
        <w:t>Record reproducible steps and evidence.</w:t>
      </w:r>
    </w:p>
    <w:p>
      <w:pPr>
        <w:ind w:left="403" w:hanging="317"/>
      </w:pPr>
      <w:r>
        <w:rPr>
          <w:b w:val="0"/>
        </w:rPr>
        <w:t xml:space="preserve">3. </w:t>
      </w:r>
      <w:r>
        <w:t>Assign severity and affected requirement.</w:t>
      </w:r>
    </w:p>
    <w:p>
      <w:pPr>
        <w:ind w:left="403" w:hanging="317"/>
      </w:pPr>
      <w:r>
        <w:rPr>
          <w:b w:val="0"/>
        </w:rPr>
        <w:t xml:space="preserve">4. </w:t>
      </w:r>
      <w:r>
        <w:t>Assign owner.</w:t>
      </w:r>
    </w:p>
    <w:p>
      <w:pPr>
        <w:ind w:left="403" w:hanging="317"/>
      </w:pPr>
      <w:r>
        <w:rPr>
          <w:b w:val="0"/>
        </w:rPr>
        <w:t xml:space="preserve">5. </w:t>
      </w:r>
      <w:r>
        <w:t>Implement correction.</w:t>
      </w:r>
    </w:p>
    <w:p>
      <w:pPr>
        <w:ind w:left="403" w:hanging="317"/>
      </w:pPr>
      <w:r>
        <w:rPr>
          <w:b w:val="0"/>
        </w:rPr>
        <w:t xml:space="preserve">6. </w:t>
      </w:r>
      <w:r>
        <w:t>Run the original failed test.</w:t>
      </w:r>
    </w:p>
    <w:p>
      <w:pPr>
        <w:ind w:left="403" w:hanging="317"/>
      </w:pPr>
      <w:r>
        <w:rPr>
          <w:b w:val="0"/>
        </w:rPr>
        <w:t xml:space="preserve">7. </w:t>
      </w:r>
      <w:r>
        <w:t>Run related regression tests.</w:t>
      </w:r>
    </w:p>
    <w:p>
      <w:pPr>
        <w:ind w:left="403" w:hanging="317"/>
      </w:pPr>
      <w:r>
        <w:rPr>
          <w:b w:val="0"/>
        </w:rPr>
        <w:t xml:space="preserve">8. </w:t>
      </w:r>
      <w:r>
        <w:t>QA verifies resolution.</w:t>
      </w:r>
    </w:p>
    <w:p>
      <w:pPr>
        <w:ind w:left="403" w:hanging="317"/>
      </w:pPr>
      <w:r>
        <w:rPr>
          <w:b w:val="0"/>
        </w:rPr>
        <w:t xml:space="preserve">9. </w:t>
      </w:r>
      <w:r>
        <w:t>Close defect or reopen if unsuccessful.</w:t>
      </w:r>
    </w:p>
    <w:p>
      <w:r>
        <w:t>Critical and High defects block release unless an explicit documented exception is approved.</w:t>
      </w:r>
    </w:p>
    <w:p>
      <w:pPr>
        <w:pStyle w:val="Heading2"/>
        <w:keepNext/>
      </w:pPr>
      <w:r>
        <w:t>8.3 Test/Defect Report Format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166753"/>
            <w:vAlign w:val="center"/>
            <w:tcMar>
              <w:top w:w="110" w:type="dxa"/>
              <w:start w:w="100" w:type="dxa"/>
              <w:bottom w:w="110" w:type="dxa"/>
              <w:end w:w="100" w:type="dxa"/>
            </w:tcMar>
          </w:tcPr>
          <w:p>
            <w:pPr>
              <w:pStyle w:val="TableText"/>
              <w:jc w:val="center"/>
            </w:pPr>
            <w:r>
              <w:rPr>
                <w:b/>
                <w:color w:val="FFFFFF"/>
              </w:rPr>
              <w:t>Field</w:t>
            </w:r>
          </w:p>
        </w:tc>
        <w:tc>
          <w:tcPr>
            <w:tcW w:type="dxa" w:w="6336"/>
            <w:shd w:fill="166753"/>
            <w:vAlign w:val="center"/>
            <w:tcMar>
              <w:top w:w="110" w:type="dxa"/>
              <w:start w:w="100" w:type="dxa"/>
              <w:bottom w:w="110" w:type="dxa"/>
              <w:end w:w="100" w:type="dxa"/>
            </w:tcMar>
          </w:tcPr>
          <w:p>
            <w:pPr>
              <w:pStyle w:val="TableText"/>
              <w:jc w:val="center"/>
            </w:pPr>
            <w:r>
              <w:rPr>
                <w:b/>
                <w:color w:val="FFFFFF"/>
              </w:rPr>
              <w:t>Entry</w:t>
            </w:r>
          </w:p>
        </w:tc>
      </w:tr>
      <w:tr>
        <w:tc>
          <w:tcPr>
            <w:tcW w:type="dxa" w:w="2880"/>
            <w:vAlign w:val="center"/>
            <w:tcMar>
              <w:top w:w="100" w:type="dxa"/>
              <w:start w:w="100" w:type="dxa"/>
              <w:bottom w:w="100" w:type="dxa"/>
              <w:end w:w="100" w:type="dxa"/>
            </w:tcMar>
          </w:tcPr>
          <w:p>
            <w:pPr>
              <w:pStyle w:val="TableText"/>
            </w:pPr>
            <w:r>
              <w:t>Test ID</w:t>
            </w:r>
          </w:p>
        </w:tc>
        <w:tc>
          <w:tcPr>
            <w:tcW w:type="dxa" w:w="6336"/>
            <w:vAlign w:val="center"/>
            <w:tcMar>
              <w:top w:w="100" w:type="dxa"/>
              <w:start w:w="100" w:type="dxa"/>
              <w:bottom w:w="100" w:type="dxa"/>
              <w:end w:w="100" w:type="dxa"/>
            </w:tcMar>
          </w:tcPr>
          <w:p>
            <w:pPr>
              <w:pStyle w:val="TableText"/>
            </w:pPr>
            <w:r>
              <w:t>Unique test identifier</w:t>
            </w:r>
          </w:p>
        </w:tc>
      </w:tr>
      <w:tr>
        <w:tc>
          <w:tcPr>
            <w:tcW w:type="dxa" w:w="2880"/>
            <w:vAlign w:val="center"/>
            <w:tcMar>
              <w:top w:w="100" w:type="dxa"/>
              <w:start w:w="100" w:type="dxa"/>
              <w:bottom w:w="100" w:type="dxa"/>
              <w:end w:w="100" w:type="dxa"/>
            </w:tcMar>
          </w:tcPr>
          <w:p>
            <w:pPr>
              <w:pStyle w:val="TableText"/>
            </w:pPr>
            <w:r>
              <w:t>Requirement ID</w:t>
            </w:r>
          </w:p>
        </w:tc>
        <w:tc>
          <w:tcPr>
            <w:tcW w:type="dxa" w:w="6336"/>
            <w:vAlign w:val="center"/>
            <w:tcMar>
              <w:top w:w="100" w:type="dxa"/>
              <w:start w:w="100" w:type="dxa"/>
              <w:bottom w:w="100" w:type="dxa"/>
              <w:end w:w="100" w:type="dxa"/>
            </w:tcMar>
          </w:tcPr>
          <w:p>
            <w:pPr>
              <w:pStyle w:val="TableText"/>
            </w:pPr>
            <w:r>
              <w:t>SRS requirement being tested</w:t>
            </w:r>
          </w:p>
        </w:tc>
      </w:tr>
      <w:tr>
        <w:tc>
          <w:tcPr>
            <w:tcW w:type="dxa" w:w="2880"/>
            <w:vAlign w:val="center"/>
            <w:tcMar>
              <w:top w:w="100" w:type="dxa"/>
              <w:start w:w="100" w:type="dxa"/>
              <w:bottom w:w="100" w:type="dxa"/>
              <w:end w:w="100" w:type="dxa"/>
            </w:tcMar>
          </w:tcPr>
          <w:p>
            <w:pPr>
              <w:pStyle w:val="TableText"/>
            </w:pPr>
            <w:r>
              <w:t>Tester</w:t>
            </w:r>
          </w:p>
        </w:tc>
        <w:tc>
          <w:tcPr>
            <w:tcW w:type="dxa" w:w="6336"/>
            <w:vAlign w:val="center"/>
            <w:tcMar>
              <w:top w:w="100" w:type="dxa"/>
              <w:start w:w="100" w:type="dxa"/>
              <w:bottom w:w="100" w:type="dxa"/>
              <w:end w:w="100" w:type="dxa"/>
            </w:tcMar>
          </w:tcPr>
          <w:p>
            <w:pPr>
              <w:pStyle w:val="TableText"/>
            </w:pPr>
            <w:r>
              <w:t>Person executing test</w:t>
            </w:r>
          </w:p>
        </w:tc>
      </w:tr>
      <w:tr>
        <w:tc>
          <w:tcPr>
            <w:tcW w:type="dxa" w:w="2880"/>
            <w:vAlign w:val="center"/>
            <w:tcMar>
              <w:top w:w="100" w:type="dxa"/>
              <w:start w:w="100" w:type="dxa"/>
              <w:bottom w:w="100" w:type="dxa"/>
              <w:end w:w="100" w:type="dxa"/>
            </w:tcMar>
          </w:tcPr>
          <w:p>
            <w:pPr>
              <w:pStyle w:val="TableText"/>
            </w:pPr>
            <w:r>
              <w:t>Date</w:t>
            </w:r>
          </w:p>
        </w:tc>
        <w:tc>
          <w:tcPr>
            <w:tcW w:type="dxa" w:w="6336"/>
            <w:vAlign w:val="center"/>
            <w:tcMar>
              <w:top w:w="100" w:type="dxa"/>
              <w:start w:w="100" w:type="dxa"/>
              <w:bottom w:w="100" w:type="dxa"/>
              <w:end w:w="100" w:type="dxa"/>
            </w:tcMar>
          </w:tcPr>
          <w:p>
            <w:pPr>
              <w:pStyle w:val="TableText"/>
            </w:pPr>
            <w:r>
              <w:t>Execution date</w:t>
            </w:r>
          </w:p>
        </w:tc>
      </w:tr>
      <w:tr>
        <w:tc>
          <w:tcPr>
            <w:tcW w:type="dxa" w:w="2880"/>
            <w:vAlign w:val="center"/>
            <w:tcMar>
              <w:top w:w="100" w:type="dxa"/>
              <w:start w:w="100" w:type="dxa"/>
              <w:bottom w:w="100" w:type="dxa"/>
              <w:end w:w="100" w:type="dxa"/>
            </w:tcMar>
          </w:tcPr>
          <w:p>
            <w:pPr>
              <w:pStyle w:val="TableText"/>
            </w:pPr>
            <w:r>
              <w:t>Build/Version</w:t>
            </w:r>
          </w:p>
        </w:tc>
        <w:tc>
          <w:tcPr>
            <w:tcW w:type="dxa" w:w="6336"/>
            <w:vAlign w:val="center"/>
            <w:tcMar>
              <w:top w:w="100" w:type="dxa"/>
              <w:start w:w="100" w:type="dxa"/>
              <w:bottom w:w="100" w:type="dxa"/>
              <w:end w:w="100" w:type="dxa"/>
            </w:tcMar>
          </w:tcPr>
          <w:p>
            <w:pPr>
              <w:pStyle w:val="TableText"/>
            </w:pPr>
            <w:r>
              <w:t>Tested release candidate</w:t>
            </w:r>
          </w:p>
        </w:tc>
      </w:tr>
      <w:tr>
        <w:tc>
          <w:tcPr>
            <w:tcW w:type="dxa" w:w="2880"/>
            <w:vAlign w:val="center"/>
            <w:tcMar>
              <w:top w:w="100" w:type="dxa"/>
              <w:start w:w="100" w:type="dxa"/>
              <w:bottom w:w="100" w:type="dxa"/>
              <w:end w:w="100" w:type="dxa"/>
            </w:tcMar>
          </w:tcPr>
          <w:p>
            <w:pPr>
              <w:pStyle w:val="TableText"/>
            </w:pPr>
            <w:r>
              <w:t>Pass/Fail</w:t>
            </w:r>
          </w:p>
        </w:tc>
        <w:tc>
          <w:tcPr>
            <w:tcW w:type="dxa" w:w="6336"/>
            <w:vAlign w:val="center"/>
            <w:tcMar>
              <w:top w:w="100" w:type="dxa"/>
              <w:start w:w="100" w:type="dxa"/>
              <w:bottom w:w="100" w:type="dxa"/>
              <w:end w:w="100" w:type="dxa"/>
            </w:tcMar>
          </w:tcPr>
          <w:p>
            <w:pPr>
              <w:pStyle w:val="TableText"/>
            </w:pPr>
            <w:r>
              <w:t>Result</w:t>
            </w:r>
          </w:p>
        </w:tc>
      </w:tr>
      <w:tr>
        <w:tc>
          <w:tcPr>
            <w:tcW w:type="dxa" w:w="2880"/>
            <w:vAlign w:val="center"/>
            <w:tcMar>
              <w:top w:w="100" w:type="dxa"/>
              <w:start w:w="100" w:type="dxa"/>
              <w:bottom w:w="100" w:type="dxa"/>
              <w:end w:w="100" w:type="dxa"/>
            </w:tcMar>
          </w:tcPr>
          <w:p>
            <w:pPr>
              <w:pStyle w:val="TableText"/>
            </w:pPr>
            <w:r>
              <w:t>Defect Severity</w:t>
            </w:r>
          </w:p>
        </w:tc>
        <w:tc>
          <w:tcPr>
            <w:tcW w:type="dxa" w:w="6336"/>
            <w:vAlign w:val="center"/>
            <w:tcMar>
              <w:top w:w="100" w:type="dxa"/>
              <w:start w:w="100" w:type="dxa"/>
              <w:bottom w:w="100" w:type="dxa"/>
              <w:end w:w="100" w:type="dxa"/>
            </w:tcMar>
          </w:tcPr>
          <w:p>
            <w:pPr>
              <w:pStyle w:val="TableText"/>
            </w:pPr>
            <w:r>
              <w:t>Critical / High / Medium / Low</w:t>
            </w:r>
          </w:p>
        </w:tc>
      </w:tr>
      <w:tr>
        <w:tc>
          <w:tcPr>
            <w:tcW w:type="dxa" w:w="2880"/>
            <w:vAlign w:val="center"/>
            <w:tcMar>
              <w:top w:w="100" w:type="dxa"/>
              <w:start w:w="100" w:type="dxa"/>
              <w:bottom w:w="100" w:type="dxa"/>
              <w:end w:w="100" w:type="dxa"/>
            </w:tcMar>
          </w:tcPr>
          <w:p>
            <w:pPr>
              <w:pStyle w:val="TableText"/>
            </w:pPr>
            <w:r>
              <w:t>Resolved?</w:t>
            </w:r>
          </w:p>
        </w:tc>
        <w:tc>
          <w:tcPr>
            <w:tcW w:type="dxa" w:w="6336"/>
            <w:vAlign w:val="center"/>
            <w:tcMar>
              <w:top w:w="100" w:type="dxa"/>
              <w:start w:w="100" w:type="dxa"/>
              <w:bottom w:w="100" w:type="dxa"/>
              <w:end w:w="100" w:type="dxa"/>
            </w:tcMar>
          </w:tcPr>
          <w:p>
            <w:pPr>
              <w:pStyle w:val="TableText"/>
            </w:pPr>
            <w:r>
              <w:t>Yes / No</w:t>
            </w:r>
          </w:p>
        </w:tc>
      </w:tr>
      <w:tr>
        <w:tc>
          <w:tcPr>
            <w:tcW w:type="dxa" w:w="2880"/>
            <w:vAlign w:val="center"/>
            <w:tcMar>
              <w:top w:w="100" w:type="dxa"/>
              <w:start w:w="100" w:type="dxa"/>
              <w:bottom w:w="100" w:type="dxa"/>
              <w:end w:w="100" w:type="dxa"/>
            </w:tcMar>
          </w:tcPr>
          <w:p>
            <w:pPr>
              <w:pStyle w:val="TableText"/>
            </w:pPr>
            <w:r>
              <w:t>Retest Result</w:t>
            </w:r>
          </w:p>
        </w:tc>
        <w:tc>
          <w:tcPr>
            <w:tcW w:type="dxa" w:w="6336"/>
            <w:vAlign w:val="center"/>
            <w:tcMar>
              <w:top w:w="100" w:type="dxa"/>
              <w:start w:w="100" w:type="dxa"/>
              <w:bottom w:w="100" w:type="dxa"/>
              <w:end w:w="100" w:type="dxa"/>
            </w:tcMar>
          </w:tcPr>
          <w:p>
            <w:pPr>
              <w:pStyle w:val="TableText"/>
            </w:pPr>
            <w:r>
              <w:t>Pass / Fail / Pending</w:t>
            </w:r>
          </w:p>
        </w:tc>
      </w:tr>
      <w:tr>
        <w:tc>
          <w:tcPr>
            <w:tcW w:type="dxa" w:w="2880"/>
            <w:vAlign w:val="center"/>
            <w:tcMar>
              <w:top w:w="100" w:type="dxa"/>
              <w:start w:w="100" w:type="dxa"/>
              <w:bottom w:w="100" w:type="dxa"/>
              <w:end w:w="100" w:type="dxa"/>
            </w:tcMar>
          </w:tcPr>
          <w:p>
            <w:pPr>
              <w:pStyle w:val="TableText"/>
            </w:pPr>
            <w:r>
              <w:t>Comments</w:t>
            </w:r>
          </w:p>
        </w:tc>
        <w:tc>
          <w:tcPr>
            <w:tcW w:type="dxa" w:w="6336"/>
            <w:vAlign w:val="center"/>
            <w:tcMar>
              <w:top w:w="100" w:type="dxa"/>
              <w:start w:w="100" w:type="dxa"/>
              <w:bottom w:w="100" w:type="dxa"/>
              <w:end w:w="100" w:type="dxa"/>
            </w:tcMar>
          </w:tcPr>
          <w:p>
            <w:pPr>
              <w:pStyle w:val="TableText"/>
            </w:pPr>
            <w:r>
              <w:t>Observed behavior and evidence</w:t>
            </w:r>
          </w:p>
        </w:tc>
      </w:tr>
      <w:tr>
        <w:tc>
          <w:tcPr>
            <w:tcW w:type="dxa" w:w="2880"/>
            <w:vAlign w:val="center"/>
            <w:tcMar>
              <w:top w:w="100" w:type="dxa"/>
              <w:start w:w="100" w:type="dxa"/>
              <w:bottom w:w="100" w:type="dxa"/>
              <w:end w:w="100" w:type="dxa"/>
            </w:tcMar>
          </w:tcPr>
          <w:p>
            <w:pPr>
              <w:pStyle w:val="TableText"/>
            </w:pPr>
            <w:r>
              <w:t>Standard-Code Compliance</w:t>
            </w:r>
          </w:p>
        </w:tc>
        <w:tc>
          <w:tcPr>
            <w:tcW w:type="dxa" w:w="6336"/>
            <w:vAlign w:val="center"/>
            <w:tcMar>
              <w:top w:w="100" w:type="dxa"/>
              <w:start w:w="100" w:type="dxa"/>
              <w:bottom w:w="100" w:type="dxa"/>
              <w:end w:w="100" w:type="dxa"/>
            </w:tcMar>
          </w:tcPr>
          <w:p>
            <w:pPr>
              <w:pStyle w:val="TableText"/>
            </w:pPr>
            <w:r>
              <w:t>Compliant / Not Compliant</w:t>
            </w:r>
          </w:p>
        </w:tc>
      </w:tr>
    </w:tbl>
    <w:p>
      <w:pPr>
        <w:spacing w:after="20"/>
      </w:pPr>
    </w:p>
    <w:p>
      <w:pPr>
        <w:pStyle w:val="Heading1"/>
        <w:keepNext/>
      </w:pPr>
      <w:r>
        <w:t>9. Tools, Techniques, and Methodologies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024"/>
            <w:shd w:fill="166753"/>
            <w:vAlign w:val="center"/>
            <w:tcMar>
              <w:top w:w="110" w:type="dxa"/>
              <w:start w:w="100" w:type="dxa"/>
              <w:bottom w:w="110" w:type="dxa"/>
              <w:end w:w="100" w:type="dxa"/>
            </w:tcMar>
          </w:tcPr>
          <w:p>
            <w:pPr>
              <w:pStyle w:val="TableText"/>
              <w:jc w:val="center"/>
            </w:pPr>
            <w:r>
              <w:rPr>
                <w:b/>
                <w:color w:val="FFFFFF"/>
              </w:rPr>
              <w:t>Tool/Technique</w:t>
            </w:r>
          </w:p>
        </w:tc>
        <w:tc>
          <w:tcPr>
            <w:tcW w:type="dxa" w:w="6192"/>
            <w:shd w:fill="166753"/>
            <w:vAlign w:val="center"/>
            <w:tcMar>
              <w:top w:w="110" w:type="dxa"/>
              <w:start w:w="100" w:type="dxa"/>
              <w:bottom w:w="110" w:type="dxa"/>
              <w:end w:w="100" w:type="dxa"/>
            </w:tcMar>
          </w:tcPr>
          <w:p>
            <w:pPr>
              <w:pStyle w:val="TableText"/>
              <w:jc w:val="center"/>
            </w:pPr>
            <w:r>
              <w:rPr>
                <w:b/>
                <w:color w:val="FFFFFF"/>
              </w:rPr>
              <w:t>Purpose</w:t>
            </w:r>
          </w:p>
        </w:tc>
      </w:tr>
      <w:tr>
        <w:tc>
          <w:tcPr>
            <w:tcW w:type="dxa" w:w="3024"/>
            <w:vAlign w:val="center"/>
            <w:tcMar>
              <w:top w:w="100" w:type="dxa"/>
              <w:start w:w="100" w:type="dxa"/>
              <w:bottom w:w="100" w:type="dxa"/>
              <w:end w:w="100" w:type="dxa"/>
            </w:tcMar>
          </w:tcPr>
          <w:p>
            <w:pPr>
              <w:pStyle w:val="TableText"/>
            </w:pPr>
            <w:r>
              <w:t>GitHub</w:t>
            </w:r>
          </w:p>
        </w:tc>
        <w:tc>
          <w:tcPr>
            <w:tcW w:type="dxa" w:w="6192"/>
            <w:vAlign w:val="center"/>
            <w:tcMar>
              <w:top w:w="100" w:type="dxa"/>
              <w:start w:w="100" w:type="dxa"/>
              <w:bottom w:w="100" w:type="dxa"/>
              <w:end w:w="100" w:type="dxa"/>
            </w:tcMar>
          </w:tcPr>
          <w:p>
            <w:pPr>
              <w:pStyle w:val="TableText"/>
            </w:pPr>
            <w:r>
              <w:t>Repository, pull requests, defects, version control</w:t>
            </w:r>
          </w:p>
        </w:tc>
      </w:tr>
      <w:tr>
        <w:tc>
          <w:tcPr>
            <w:tcW w:type="dxa" w:w="3024"/>
            <w:vAlign w:val="center"/>
            <w:tcMar>
              <w:top w:w="100" w:type="dxa"/>
              <w:start w:w="100" w:type="dxa"/>
              <w:bottom w:w="100" w:type="dxa"/>
              <w:end w:w="100" w:type="dxa"/>
            </w:tcMar>
          </w:tcPr>
          <w:p>
            <w:pPr>
              <w:pStyle w:val="TableText"/>
            </w:pPr>
            <w:r>
              <w:t>GitHub CI/CD</w:t>
            </w:r>
          </w:p>
        </w:tc>
        <w:tc>
          <w:tcPr>
            <w:tcW w:type="dxa" w:w="6192"/>
            <w:vAlign w:val="center"/>
            <w:tcMar>
              <w:top w:w="100" w:type="dxa"/>
              <w:start w:w="100" w:type="dxa"/>
              <w:bottom w:w="100" w:type="dxa"/>
              <w:end w:w="100" w:type="dxa"/>
            </w:tcMar>
          </w:tcPr>
          <w:p>
            <w:pPr>
              <w:pStyle w:val="TableText"/>
            </w:pPr>
            <w:r>
              <w:t>Automated quality gates</w:t>
            </w:r>
          </w:p>
        </w:tc>
      </w:tr>
      <w:tr>
        <w:tc>
          <w:tcPr>
            <w:tcW w:type="dxa" w:w="3024"/>
            <w:vAlign w:val="center"/>
            <w:tcMar>
              <w:top w:w="100" w:type="dxa"/>
              <w:start w:w="100" w:type="dxa"/>
              <w:bottom w:w="100" w:type="dxa"/>
              <w:end w:w="100" w:type="dxa"/>
            </w:tcMar>
          </w:tcPr>
          <w:p>
            <w:pPr>
              <w:pStyle w:val="TableText"/>
            </w:pPr>
            <w:r>
              <w:t>PyTest</w:t>
            </w:r>
          </w:p>
        </w:tc>
        <w:tc>
          <w:tcPr>
            <w:tcW w:type="dxa" w:w="6192"/>
            <w:vAlign w:val="center"/>
            <w:tcMar>
              <w:top w:w="100" w:type="dxa"/>
              <w:start w:w="100" w:type="dxa"/>
              <w:bottom w:w="100" w:type="dxa"/>
              <w:end w:w="100" w:type="dxa"/>
            </w:tcMar>
          </w:tcPr>
          <w:p>
            <w:pPr>
              <w:pStyle w:val="TableText"/>
            </w:pPr>
            <w:r>
              <w:t>Backend/unit/integration testing</w:t>
            </w:r>
          </w:p>
        </w:tc>
      </w:tr>
      <w:tr>
        <w:tc>
          <w:tcPr>
            <w:tcW w:type="dxa" w:w="3024"/>
            <w:vAlign w:val="center"/>
            <w:tcMar>
              <w:top w:w="100" w:type="dxa"/>
              <w:start w:w="100" w:type="dxa"/>
              <w:bottom w:w="100" w:type="dxa"/>
              <w:end w:w="100" w:type="dxa"/>
            </w:tcMar>
          </w:tcPr>
          <w:p>
            <w:pPr>
              <w:pStyle w:val="TableText"/>
            </w:pPr>
            <w:r>
              <w:t>Playwright</w:t>
            </w:r>
          </w:p>
        </w:tc>
        <w:tc>
          <w:tcPr>
            <w:tcW w:type="dxa" w:w="6192"/>
            <w:vAlign w:val="center"/>
            <w:tcMar>
              <w:top w:w="100" w:type="dxa"/>
              <w:start w:w="100" w:type="dxa"/>
              <w:bottom w:w="100" w:type="dxa"/>
              <w:end w:w="100" w:type="dxa"/>
            </w:tcMar>
          </w:tcPr>
          <w:p>
            <w:pPr>
              <w:pStyle w:val="TableText"/>
            </w:pPr>
            <w:r>
              <w:t>Browser/end-to-end testing</w:t>
            </w:r>
          </w:p>
        </w:tc>
      </w:tr>
      <w:tr>
        <w:tc>
          <w:tcPr>
            <w:tcW w:type="dxa" w:w="3024"/>
            <w:vAlign w:val="center"/>
            <w:tcMar>
              <w:top w:w="100" w:type="dxa"/>
              <w:start w:w="100" w:type="dxa"/>
              <w:bottom w:w="100" w:type="dxa"/>
              <w:end w:w="100" w:type="dxa"/>
            </w:tcMar>
          </w:tcPr>
          <w:p>
            <w:pPr>
              <w:pStyle w:val="TableText"/>
            </w:pPr>
            <w:r>
              <w:t>FastAPI test client</w:t>
            </w:r>
          </w:p>
        </w:tc>
        <w:tc>
          <w:tcPr>
            <w:tcW w:type="dxa" w:w="6192"/>
            <w:vAlign w:val="center"/>
            <w:tcMar>
              <w:top w:w="100" w:type="dxa"/>
              <w:start w:w="100" w:type="dxa"/>
              <w:bottom w:w="100" w:type="dxa"/>
              <w:end w:w="100" w:type="dxa"/>
            </w:tcMar>
          </w:tcPr>
          <w:p>
            <w:pPr>
              <w:pStyle w:val="TableText"/>
            </w:pPr>
            <w:r>
              <w:t>API testing</w:t>
            </w:r>
          </w:p>
        </w:tc>
      </w:tr>
      <w:tr>
        <w:tc>
          <w:tcPr>
            <w:tcW w:type="dxa" w:w="3024"/>
            <w:vAlign w:val="center"/>
            <w:tcMar>
              <w:top w:w="100" w:type="dxa"/>
              <w:start w:w="100" w:type="dxa"/>
              <w:bottom w:w="100" w:type="dxa"/>
              <w:end w:w="100" w:type="dxa"/>
            </w:tcMar>
          </w:tcPr>
          <w:p>
            <w:pPr>
              <w:pStyle w:val="TableText"/>
            </w:pPr>
            <w:r>
              <w:t>Coverage tools</w:t>
            </w:r>
          </w:p>
        </w:tc>
        <w:tc>
          <w:tcPr>
            <w:tcW w:type="dxa" w:w="6192"/>
            <w:vAlign w:val="center"/>
            <w:tcMar>
              <w:top w:w="100" w:type="dxa"/>
              <w:start w:w="100" w:type="dxa"/>
              <w:bottom w:w="100" w:type="dxa"/>
              <w:end w:w="100" w:type="dxa"/>
            </w:tcMar>
          </w:tcPr>
          <w:p>
            <w:pPr>
              <w:pStyle w:val="TableText"/>
            </w:pPr>
            <w:r>
              <w:t>Branch and line coverage</w:t>
            </w:r>
          </w:p>
        </w:tc>
      </w:tr>
      <w:tr>
        <w:tc>
          <w:tcPr>
            <w:tcW w:type="dxa" w:w="3024"/>
            <w:vAlign w:val="center"/>
            <w:tcMar>
              <w:top w:w="100" w:type="dxa"/>
              <w:start w:w="100" w:type="dxa"/>
              <w:bottom w:w="100" w:type="dxa"/>
              <w:end w:w="100" w:type="dxa"/>
            </w:tcMar>
          </w:tcPr>
          <w:p>
            <w:pPr>
              <w:pStyle w:val="TableText"/>
            </w:pPr>
            <w:r>
              <w:t>ESLint</w:t>
            </w:r>
          </w:p>
        </w:tc>
        <w:tc>
          <w:tcPr>
            <w:tcW w:type="dxa" w:w="6192"/>
            <w:vAlign w:val="center"/>
            <w:tcMar>
              <w:top w:w="100" w:type="dxa"/>
              <w:start w:w="100" w:type="dxa"/>
              <w:bottom w:w="100" w:type="dxa"/>
              <w:end w:w="100" w:type="dxa"/>
            </w:tcMar>
          </w:tcPr>
          <w:p>
            <w:pPr>
              <w:pStyle w:val="TableText"/>
            </w:pPr>
            <w:r>
              <w:t>Frontend linting</w:t>
            </w:r>
          </w:p>
        </w:tc>
      </w:tr>
      <w:tr>
        <w:tc>
          <w:tcPr>
            <w:tcW w:type="dxa" w:w="3024"/>
            <w:vAlign w:val="center"/>
            <w:tcMar>
              <w:top w:w="100" w:type="dxa"/>
              <w:start w:w="100" w:type="dxa"/>
              <w:bottom w:w="100" w:type="dxa"/>
              <w:end w:w="100" w:type="dxa"/>
            </w:tcMar>
          </w:tcPr>
          <w:p>
            <w:pPr>
              <w:pStyle w:val="TableText"/>
            </w:pPr>
            <w:r>
              <w:t>Python lint/format tool</w:t>
            </w:r>
          </w:p>
        </w:tc>
        <w:tc>
          <w:tcPr>
            <w:tcW w:type="dxa" w:w="6192"/>
            <w:vAlign w:val="center"/>
            <w:tcMar>
              <w:top w:w="100" w:type="dxa"/>
              <w:start w:w="100" w:type="dxa"/>
              <w:bottom w:w="100" w:type="dxa"/>
              <w:end w:w="100" w:type="dxa"/>
            </w:tcMar>
          </w:tcPr>
          <w:p>
            <w:pPr>
              <w:pStyle w:val="TableText"/>
            </w:pPr>
            <w:r>
              <w:t>Backend quality checks</w:t>
            </w:r>
          </w:p>
        </w:tc>
      </w:tr>
      <w:tr>
        <w:tc>
          <w:tcPr>
            <w:tcW w:type="dxa" w:w="3024"/>
            <w:vAlign w:val="center"/>
            <w:tcMar>
              <w:top w:w="100" w:type="dxa"/>
              <w:start w:w="100" w:type="dxa"/>
              <w:bottom w:w="100" w:type="dxa"/>
              <w:end w:w="100" w:type="dxa"/>
            </w:tcMar>
          </w:tcPr>
          <w:p>
            <w:pPr>
              <w:pStyle w:val="TableText"/>
            </w:pPr>
            <w:r>
              <w:t>SAST tool</w:t>
            </w:r>
          </w:p>
        </w:tc>
        <w:tc>
          <w:tcPr>
            <w:tcW w:type="dxa" w:w="6192"/>
            <w:vAlign w:val="center"/>
            <w:tcMar>
              <w:top w:w="100" w:type="dxa"/>
              <w:start w:w="100" w:type="dxa"/>
              <w:bottom w:w="100" w:type="dxa"/>
              <w:end w:w="100" w:type="dxa"/>
            </w:tcMar>
          </w:tcPr>
          <w:p>
            <w:pPr>
              <w:pStyle w:val="TableText"/>
            </w:pPr>
            <w:r>
              <w:t>Static security analysis</w:t>
            </w:r>
          </w:p>
        </w:tc>
      </w:tr>
      <w:tr>
        <w:tc>
          <w:tcPr>
            <w:tcW w:type="dxa" w:w="3024"/>
            <w:vAlign w:val="center"/>
            <w:tcMar>
              <w:top w:w="100" w:type="dxa"/>
              <w:start w:w="100" w:type="dxa"/>
              <w:bottom w:w="100" w:type="dxa"/>
              <w:end w:w="100" w:type="dxa"/>
            </w:tcMar>
          </w:tcPr>
          <w:p>
            <w:pPr>
              <w:pStyle w:val="TableText"/>
            </w:pPr>
            <w:r>
              <w:t>Dependency scanner</w:t>
            </w:r>
          </w:p>
        </w:tc>
        <w:tc>
          <w:tcPr>
            <w:tcW w:type="dxa" w:w="6192"/>
            <w:vAlign w:val="center"/>
            <w:tcMar>
              <w:top w:w="100" w:type="dxa"/>
              <w:start w:w="100" w:type="dxa"/>
              <w:bottom w:w="100" w:type="dxa"/>
              <w:end w:w="100" w:type="dxa"/>
            </w:tcMar>
          </w:tcPr>
          <w:p>
            <w:pPr>
              <w:pStyle w:val="TableText"/>
            </w:pPr>
            <w:r>
              <w:t>Vulnerable dependency detection</w:t>
            </w:r>
          </w:p>
        </w:tc>
      </w:tr>
      <w:tr>
        <w:tc>
          <w:tcPr>
            <w:tcW w:type="dxa" w:w="3024"/>
            <w:vAlign w:val="center"/>
            <w:tcMar>
              <w:top w:w="100" w:type="dxa"/>
              <w:start w:w="100" w:type="dxa"/>
              <w:bottom w:w="100" w:type="dxa"/>
              <w:end w:w="100" w:type="dxa"/>
            </w:tcMar>
          </w:tcPr>
          <w:p>
            <w:pPr>
              <w:pStyle w:val="TableText"/>
            </w:pPr>
            <w:r>
              <w:t>Secret scanner</w:t>
            </w:r>
          </w:p>
        </w:tc>
        <w:tc>
          <w:tcPr>
            <w:tcW w:type="dxa" w:w="6192"/>
            <w:vAlign w:val="center"/>
            <w:tcMar>
              <w:top w:w="100" w:type="dxa"/>
              <w:start w:w="100" w:type="dxa"/>
              <w:bottom w:w="100" w:type="dxa"/>
              <w:end w:w="100" w:type="dxa"/>
            </w:tcMar>
          </w:tcPr>
          <w:p>
            <w:pPr>
              <w:pStyle w:val="TableText"/>
            </w:pPr>
            <w:r>
              <w:t>Credential leakage prevention</w:t>
            </w:r>
          </w:p>
        </w:tc>
      </w:tr>
      <w:tr>
        <w:tc>
          <w:tcPr>
            <w:tcW w:type="dxa" w:w="3024"/>
            <w:vAlign w:val="center"/>
            <w:tcMar>
              <w:top w:w="100" w:type="dxa"/>
              <w:start w:w="100" w:type="dxa"/>
              <w:bottom w:w="100" w:type="dxa"/>
              <w:end w:w="100" w:type="dxa"/>
            </w:tcMar>
          </w:tcPr>
          <w:p>
            <w:pPr>
              <w:pStyle w:val="TableText"/>
            </w:pPr>
            <w:r>
              <w:t>Browser developer tools</w:t>
            </w:r>
          </w:p>
        </w:tc>
        <w:tc>
          <w:tcPr>
            <w:tcW w:type="dxa" w:w="6192"/>
            <w:vAlign w:val="center"/>
            <w:tcMar>
              <w:top w:w="100" w:type="dxa"/>
              <w:start w:w="100" w:type="dxa"/>
              <w:bottom w:w="100" w:type="dxa"/>
              <w:end w:w="100" w:type="dxa"/>
            </w:tcMar>
          </w:tcPr>
          <w:p>
            <w:pPr>
              <w:pStyle w:val="TableText"/>
            </w:pPr>
            <w:r>
              <w:t>UI and performance inspection</w:t>
            </w:r>
          </w:p>
        </w:tc>
      </w:tr>
      <w:tr>
        <w:tc>
          <w:tcPr>
            <w:tcW w:type="dxa" w:w="3024"/>
            <w:vAlign w:val="center"/>
            <w:tcMar>
              <w:top w:w="100" w:type="dxa"/>
              <w:start w:w="100" w:type="dxa"/>
              <w:bottom w:w="100" w:type="dxa"/>
              <w:end w:w="100" w:type="dxa"/>
            </w:tcMar>
          </w:tcPr>
          <w:p>
            <w:pPr>
              <w:pStyle w:val="TableText"/>
            </w:pPr>
            <w:r>
              <w:t>Accessibility scanner</w:t>
            </w:r>
          </w:p>
        </w:tc>
        <w:tc>
          <w:tcPr>
            <w:tcW w:type="dxa" w:w="6192"/>
            <w:vAlign w:val="center"/>
            <w:tcMar>
              <w:top w:w="100" w:type="dxa"/>
              <w:start w:w="100" w:type="dxa"/>
              <w:bottom w:w="100" w:type="dxa"/>
              <w:end w:w="100" w:type="dxa"/>
            </w:tcMar>
          </w:tcPr>
          <w:p>
            <w:pPr>
              <w:pStyle w:val="TableText"/>
            </w:pPr>
            <w:r>
              <w:t>Automated accessibility checks</w:t>
            </w:r>
          </w:p>
        </w:tc>
      </w:tr>
      <w:tr>
        <w:tc>
          <w:tcPr>
            <w:tcW w:type="dxa" w:w="3024"/>
            <w:vAlign w:val="center"/>
            <w:tcMar>
              <w:top w:w="100" w:type="dxa"/>
              <w:start w:w="100" w:type="dxa"/>
              <w:bottom w:w="100" w:type="dxa"/>
              <w:end w:w="100" w:type="dxa"/>
            </w:tcMar>
          </w:tcPr>
          <w:p>
            <w:pPr>
              <w:pStyle w:val="TableText"/>
            </w:pPr>
            <w:r>
              <w:t>Manual peer review</w:t>
            </w:r>
          </w:p>
        </w:tc>
        <w:tc>
          <w:tcPr>
            <w:tcW w:type="dxa" w:w="6192"/>
            <w:vAlign w:val="center"/>
            <w:tcMar>
              <w:top w:w="100" w:type="dxa"/>
              <w:start w:w="100" w:type="dxa"/>
              <w:bottom w:w="100" w:type="dxa"/>
              <w:end w:w="100" w:type="dxa"/>
            </w:tcMar>
          </w:tcPr>
          <w:p>
            <w:pPr>
              <w:pStyle w:val="TableText"/>
            </w:pPr>
            <w:r>
              <w:t>Logic/security/spec verification</w:t>
            </w:r>
          </w:p>
        </w:tc>
      </w:tr>
    </w:tbl>
    <w:p>
      <w:pPr>
        <w:spacing w:after="20"/>
      </w:pPr>
    </w:p>
    <w:p>
      <w:r>
        <w:t>Testing combines white-box, black-box, boundary, negative, regression, load, security, accessibility, and usability techniques.</w:t>
      </w:r>
    </w:p>
    <w:p>
      <w:pPr>
        <w:pStyle w:val="Heading1"/>
        <w:keepNext/>
      </w:pPr>
      <w:r>
        <w:t>10. Code Control</w:t>
      </w:r>
    </w:p>
    <w:p>
      <w:r>
        <w:t>GitHub will be the configuration-control repository. Controls include a protected main branch, feature branches for development, required pull requests, peer approval, required CI gates, release tags, controlled baseline requirements, and prohibition of direct unreviewed production changes. Changes to normative SRS requirements require documented change control.</w:t>
      </w:r>
    </w:p>
    <w:p>
      <w:pPr>
        <w:pStyle w:val="Heading1"/>
        <w:keepNext/>
      </w:pPr>
      <w:r>
        <w:t>11. Media Control</w:t>
      </w:r>
    </w:p>
    <w:p>
      <w:r>
        <w:t>Source code and project documentation will be maintained in the version-controlled repository. Production data will be protected through managed database storage, encryption at rest, encrypted backups, restricted access, and secret management outside source control. The project requires encrypted production backups at least once every 24 hours, with an RPO of 24 hours and an RTO of 4 hours.</w:t>
      </w:r>
    </w:p>
    <w:p>
      <w:pPr>
        <w:pStyle w:val="Heading1"/>
        <w:keepNext/>
      </w:pPr>
      <w:r>
        <w:t>12. Supplier Control</w:t>
      </w:r>
    </w:p>
    <w:p>
      <w:r>
        <w:t>N/A for software development subcontractors. No external subcontractor performs development, testing, or QA for GoalWise. Hosting, database, and future AI services are treated as external technology dependencies rather than development subcontractors. The MVP must remain fully functional if AI services are unavailable.</w:t>
      </w:r>
    </w:p>
    <w:p>
      <w:pPr>
        <w:pStyle w:val="Heading1"/>
        <w:keepNext/>
      </w:pPr>
      <w:r>
        <w:t>13. Records Collection, Maintenance, and Retention</w:t>
      </w:r>
    </w:p>
    <w:p>
      <w:r>
        <w:t>The following quality records will be maintained:</w:t>
      </w:r>
    </w:p>
    <w:p>
      <w:pPr>
        <w:pStyle w:val="ListBullet"/>
      </w:pPr>
      <w:r>
        <w:t>Test cases.</w:t>
      </w:r>
    </w:p>
    <w:p>
      <w:pPr>
        <w:pStyle w:val="ListBullet"/>
      </w:pPr>
      <w:r>
        <w:t>Test execution reports.</w:t>
      </w:r>
    </w:p>
    <w:p>
      <w:pPr>
        <w:pStyle w:val="ListBullet"/>
      </w:pPr>
      <w:r>
        <w:t>CI results.</w:t>
      </w:r>
    </w:p>
    <w:p>
      <w:pPr>
        <w:pStyle w:val="ListBullet"/>
      </w:pPr>
      <w:r>
        <w:t>Coverage reports.</w:t>
      </w:r>
    </w:p>
    <w:p>
      <w:pPr>
        <w:pStyle w:val="ListBullet"/>
      </w:pPr>
      <w:r>
        <w:t>Security scan reports.</w:t>
      </w:r>
    </w:p>
    <w:p>
      <w:pPr>
        <w:pStyle w:val="ListBullet"/>
      </w:pPr>
      <w:r>
        <w:t>Defect records.</w:t>
      </w:r>
    </w:p>
    <w:p>
      <w:pPr>
        <w:pStyle w:val="ListBullet"/>
      </w:pPr>
      <w:r>
        <w:t>Pull-request reviews.</w:t>
      </w:r>
    </w:p>
    <w:p>
      <w:pPr>
        <w:pStyle w:val="ListBullet"/>
      </w:pPr>
      <w:r>
        <w:t>Requirements traceability matrix.</w:t>
      </w:r>
    </w:p>
    <w:p>
      <w:pPr>
        <w:pStyle w:val="ListBullet"/>
      </w:pPr>
      <w:r>
        <w:t>Accessibility results.</w:t>
      </w:r>
    </w:p>
    <w:p>
      <w:pPr>
        <w:pStyle w:val="ListBullet"/>
      </w:pPr>
      <w:r>
        <w:t>Performance results.</w:t>
      </w:r>
    </w:p>
    <w:p>
      <w:pPr>
        <w:pStyle w:val="ListBullet"/>
      </w:pPr>
      <w:r>
        <w:t>Usability-session findings.</w:t>
      </w:r>
    </w:p>
    <w:p>
      <w:pPr>
        <w:pStyle w:val="ListBullet"/>
      </w:pPr>
      <w:r>
        <w:t>Release approval evidence.</w:t>
      </w:r>
    </w:p>
    <w:p>
      <w:r>
        <w:t>Evidence will be linked to the corresponding requirement or defect where possible. Test evidence from earlier releases will be retained to support regression testing.</w:t>
      </w:r>
    </w:p>
    <w:p>
      <w:pPr>
        <w:pStyle w:val="Heading1"/>
        <w:keepNext/>
      </w:pPr>
      <w:r>
        <w:t>14. Training</w:t>
      </w:r>
    </w:p>
    <w:p>
      <w:r>
        <w:t>Team members will maintain sufficient knowledge of Git and GitHub workflow, FastAPI, React/Next.js, PostgreSQL, PyTest, Playwright, secure coding practices, OWASP-style vulnerabilities, accessibility testing, and AI-assisted software review. The project SPMP assigns training ownership for FastAPI, React, security practices, Git workflow, and AI governance.</w:t>
      </w:r>
    </w:p>
    <w:p>
      <w:pPr>
        <w:pStyle w:val="Heading1"/>
        <w:keepNext/>
      </w:pPr>
      <w:r>
        <w:t>15. Risk Management</w:t>
      </w:r>
    </w:p>
    <w:p>
      <w:r>
        <w:t>Risk management is defined in the GoalWise SPMP risk register and is incorporated into this SQAP by reference rather than duplicated. Quality-related risks include incorrect pace-engine calculations, security vulnerabilities, insecure AI-generated code, hallucinated AI-generated dependencies, integration failures, database performance issues, privacy leakage, and schedule slippage.</w:t>
      </w:r>
    </w:p>
    <w:p>
      <w:r>
        <w:t>The highest-impact quality risk is incorrect financial calculation. Mitigation includes manually verified golden tests, &gt;=90% pace-engine branch coverage, deterministic backend calculation, peer review, and CI enforcement. Security-related mitigation includes static analysis, parameterized database operations, server-side validation, dependency scanning, authorization testing, and zero unresolved Critical/High findings before release.</w:t>
      </w:r>
    </w:p>
    <w:p>
      <w:pPr>
        <w:pStyle w:val="Heading1"/>
        <w:keepNext/>
      </w:pPr>
      <w:r>
        <w:t>Appendix A. Release Candidate Error-Minimization Strategy</w:t>
      </w:r>
    </w:p>
    <w:p>
      <w:r>
        <w:t>Before a release candidate is accepted, Group 3 will:</w:t>
      </w:r>
    </w:p>
    <w:p>
      <w:pPr>
        <w:ind w:left="403" w:hanging="317"/>
      </w:pPr>
      <w:r>
        <w:rPr>
          <w:b w:val="0"/>
        </w:rPr>
        <w:t xml:space="preserve">1. </w:t>
      </w:r>
      <w:r>
        <w:t>Freeze normative requirements for the candidate.</w:t>
      </w:r>
    </w:p>
    <w:p>
      <w:pPr>
        <w:ind w:left="403" w:hanging="317"/>
      </w:pPr>
      <w:r>
        <w:rPr>
          <w:b w:val="0"/>
        </w:rPr>
        <w:t xml:space="preserve">2. </w:t>
      </w:r>
      <w:r>
        <w:t>Run the complete automated suite.</w:t>
      </w:r>
    </w:p>
    <w:p>
      <w:pPr>
        <w:ind w:left="403" w:hanging="317"/>
      </w:pPr>
      <w:r>
        <w:rPr>
          <w:b w:val="0"/>
        </w:rPr>
        <w:t xml:space="preserve">3. </w:t>
      </w:r>
      <w:r>
        <w:t>Run all pace-v1 golden tests.</w:t>
      </w:r>
    </w:p>
    <w:p>
      <w:pPr>
        <w:ind w:left="403" w:hanging="317"/>
      </w:pPr>
      <w:r>
        <w:rPr>
          <w:b w:val="0"/>
        </w:rPr>
        <w:t xml:space="preserve">4. </w:t>
      </w:r>
      <w:r>
        <w:t>Review coverage reports.</w:t>
      </w:r>
    </w:p>
    <w:p>
      <w:pPr>
        <w:ind w:left="403" w:hanging="317"/>
      </w:pPr>
      <w:r>
        <w:rPr>
          <w:b w:val="0"/>
        </w:rPr>
        <w:t xml:space="preserve">5. </w:t>
      </w:r>
      <w:r>
        <w:t>Resolve Critical and High defects.</w:t>
      </w:r>
    </w:p>
    <w:p>
      <w:pPr>
        <w:ind w:left="403" w:hanging="317"/>
      </w:pPr>
      <w:r>
        <w:rPr>
          <w:b w:val="0"/>
        </w:rPr>
        <w:t xml:space="preserve">6. </w:t>
      </w:r>
      <w:r>
        <w:t>Run SAST and dependency/security scans.</w:t>
      </w:r>
    </w:p>
    <w:p>
      <w:pPr>
        <w:ind w:left="403" w:hanging="317"/>
      </w:pPr>
      <w:r>
        <w:rPr>
          <w:b w:val="0"/>
        </w:rPr>
        <w:t xml:space="preserve">7. </w:t>
      </w:r>
      <w:r>
        <w:t>Execute regression tests.</w:t>
      </w:r>
    </w:p>
    <w:p>
      <w:pPr>
        <w:ind w:left="403" w:hanging="317"/>
      </w:pPr>
      <w:r>
        <w:rPr>
          <w:b w:val="0"/>
        </w:rPr>
        <w:t xml:space="preserve">8. </w:t>
      </w:r>
      <w:r>
        <w:t>Perform system and end-to-end testing.</w:t>
      </w:r>
    </w:p>
    <w:p>
      <w:pPr>
        <w:ind w:left="403" w:hanging="317"/>
      </w:pPr>
      <w:r>
        <w:rPr>
          <w:b w:val="0"/>
        </w:rPr>
        <w:t xml:space="preserve">9. </w:t>
      </w:r>
      <w:r>
        <w:t>Perform accessibility and cross-browser checks.</w:t>
      </w:r>
    </w:p>
    <w:p>
      <w:pPr>
        <w:ind w:left="403" w:hanging="317"/>
      </w:pPr>
      <w:r>
        <w:rPr>
          <w:b w:val="0"/>
        </w:rPr>
        <w:t xml:space="preserve">10. </w:t>
      </w:r>
      <w:r>
        <w:t>Perform performance and recovery tests.</w:t>
      </w:r>
    </w:p>
    <w:p>
      <w:pPr>
        <w:ind w:left="403" w:hanging="317"/>
      </w:pPr>
      <w:r>
        <w:rPr>
          <w:b w:val="0"/>
        </w:rPr>
        <w:t xml:space="preserve">11. </w:t>
      </w:r>
      <w:r>
        <w:t>Review requirement traceability for missing evidence.</w:t>
      </w:r>
    </w:p>
    <w:p>
      <w:pPr>
        <w:ind w:left="403" w:hanging="317"/>
      </w:pPr>
      <w:r>
        <w:rPr>
          <w:b w:val="0"/>
        </w:rPr>
        <w:t xml:space="preserve">12. </w:t>
      </w:r>
      <w:r>
        <w:t>Conduct an independent peer review of AI-assisted code and tests.</w:t>
      </w:r>
    </w:p>
    <w:p>
      <w:pPr>
        <w:ind w:left="403" w:hanging="317"/>
      </w:pPr>
      <w:r>
        <w:rPr>
          <w:b w:val="0"/>
        </w:rPr>
        <w:t xml:space="preserve">13. </w:t>
      </w:r>
      <w:r>
        <w:t>Perform acceptance testing using the complete user workflow.</w:t>
      </w:r>
    </w:p>
    <w:p>
      <w:pPr>
        <w:ind w:left="403" w:hanging="317"/>
      </w:pPr>
      <w:r>
        <w:rPr>
          <w:b w:val="0"/>
        </w:rPr>
        <w:t xml:space="preserve">14. </w:t>
      </w:r>
      <w:r>
        <w:t>Record known lower-severity issues and their disposition.</w:t>
      </w:r>
    </w:p>
    <w:p>
      <w:pPr>
        <w:ind w:left="403" w:hanging="317"/>
      </w:pPr>
      <w:r>
        <w:rPr>
          <w:b w:val="0"/>
        </w:rPr>
        <w:t xml:space="preserve">15. </w:t>
      </w:r>
      <w:r>
        <w:t>Tag the approved build so the tested release is reproducible.</w:t>
      </w:r>
    </w:p>
    <w:p>
      <w:r>
        <w:t>A release candidate will not be accepted merely because its automated tests pass. Release requires evidence that the tests themselves represent the SRS correctly and that the system is fit for its intended purpose.</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 xml:space="preserve">GoalWise SQAP/STP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66753"/>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3F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675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0505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GoalWise Software Quality Assurance Plan (SQAP) and Software Testing Plan (STP)</dc:title>
  <dc:subject>MSCS 2101 Software Engineering - Group 3</dc:subject>
  <dc:creator>Group 3</dc:creator>
  <cp:keywords/>
  <dc:description>generated by python-docx</dc:description>
  <cp:lastModifiedBy/>
  <cp:revision>1</cp:revision>
  <dcterms:created xsi:type="dcterms:W3CDTF">2013-12-23T23:15:00Z</dcterms:created>
  <dcterms:modified xsi:type="dcterms:W3CDTF">2013-12-23T23:15:00Z</dcterms:modified>
  <cp:category/>
</cp:coreProperties>
</file>