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412AE" w14:textId="77777777" w:rsidR="00C30211" w:rsidRDefault="00000000">
      <w:pPr>
        <w:spacing w:after="480"/>
        <w:jc w:val="center"/>
      </w:pPr>
      <w:r>
        <w:rPr>
          <w:rFonts w:ascii="Times New Roman" w:hAnsi="Times New Roman"/>
          <w:b/>
          <w:color w:val="000000"/>
          <w:sz w:val="36"/>
        </w:rPr>
        <w:t>Chapter 1. Introduction</w:t>
      </w:r>
    </w:p>
    <w:p w14:paraId="34DD89C8" w14:textId="77777777" w:rsidR="00C30211" w:rsidRDefault="00000000">
      <w:pPr>
        <w:keepNext/>
        <w:spacing w:before="360" w:after="120"/>
      </w:pPr>
      <w:r>
        <w:rPr>
          <w:rFonts w:ascii="Times New Roman" w:hAnsi="Times New Roman"/>
          <w:b/>
          <w:color w:val="000000"/>
          <w:sz w:val="32"/>
        </w:rPr>
        <w:t>1.1 Background and Motivation</w:t>
      </w:r>
    </w:p>
    <w:p w14:paraId="31FB9F24" w14:textId="77777777" w:rsidR="00C30211" w:rsidRDefault="00000000">
      <w:pPr>
        <w:spacing w:after="240"/>
      </w:pPr>
      <w:r>
        <w:rPr>
          <w:rFonts w:ascii="Times New Roman" w:hAnsi="Times New Roman"/>
          <w:color w:val="000000"/>
          <w:sz w:val="24"/>
        </w:rPr>
        <w:t>Improving access to essential public services remains a major development priority across the Southern African Development Community (SADC). Governments continue to invest in infrastructure such as piped water systems, healthcare facilities, electricity networks, and financial services to improve living standards, reduce poverty, and promote inclusive economic growth. These investments are generally based on the assumption that expanding public infrastructure will improve citizens' access to basic services and, consequently, their overall well-being.</w:t>
      </w:r>
    </w:p>
    <w:p w14:paraId="1D14E79F" w14:textId="77777777" w:rsidR="00C30211" w:rsidRDefault="00000000">
      <w:pPr>
        <w:spacing w:after="240"/>
      </w:pPr>
      <w:r>
        <w:rPr>
          <w:rFonts w:ascii="Times New Roman" w:hAnsi="Times New Roman"/>
          <w:color w:val="000000"/>
          <w:sz w:val="24"/>
        </w:rPr>
        <w:t>Although considerable progress has been made in expanding public infrastructure across many African countries, access to essential services remains uneven. Many communities continue to report severe shortages of water, healthcare, electricity, and financial resources despite the visible presence of public facilities. This suggests that infrastructure availability alone may not provide an accurate picture of service delivery. A community may have a health clinic or piped water system, yet residents may still experience persistent difficulties in obtaining healthcare or reliable water supplies. Similar situations are observed in electricity and financial services, indicating that the presence of infrastructure does not always translate into effective access.</w:t>
      </w:r>
    </w:p>
    <w:p w14:paraId="46067370" w14:textId="77777777" w:rsidR="00C30211" w:rsidRDefault="00000000">
      <w:pPr>
        <w:spacing w:after="240"/>
      </w:pPr>
      <w:r>
        <w:rPr>
          <w:rFonts w:ascii="Times New Roman" w:hAnsi="Times New Roman"/>
          <w:color w:val="000000"/>
          <w:sz w:val="24"/>
        </w:rPr>
        <w:t>This study refers to this disconnect as the Public Service Visibility Paradox. The paradox describes situations in which public infrastructure is visibly present within a community while households continue to experience severe shortages of the corresponding service. Rather than assuming that infrastructure availability automatically reflects successful service delivery, the study argues that visible infrastructure represents only one aspect of service performance. Effective public service delivery also depends on governance, institutional capacity, affordability, operational reliability, and the quality of services provided.</w:t>
      </w:r>
    </w:p>
    <w:p w14:paraId="00875DC4" w14:textId="77777777" w:rsidR="00C30211" w:rsidRDefault="00000000">
      <w:pPr>
        <w:spacing w:after="240"/>
      </w:pPr>
      <w:r>
        <w:rPr>
          <w:rFonts w:ascii="Times New Roman" w:hAnsi="Times New Roman"/>
          <w:color w:val="000000"/>
          <w:sz w:val="24"/>
        </w:rPr>
        <w:t>The study further argues that public services should not be viewed as isolated sectors. Water, healthcare, electricity, and financial services are closely interconnected, and failures in one sector may increase the likelihood of failures in others. Understanding these relationships is important because governments often face limited financial resources and must decide which services should receive priority investment. Identifying both the services that most effectively reduce severe shortages and those that signal broader system fragility can support more effective policy decisions.</w:t>
      </w:r>
    </w:p>
    <w:p w14:paraId="6424E604" w14:textId="77777777" w:rsidR="00C30211" w:rsidRDefault="00000000">
      <w:pPr>
        <w:spacing w:after="240"/>
      </w:pPr>
      <w:r>
        <w:rPr>
          <w:rFonts w:ascii="Times New Roman" w:hAnsi="Times New Roman"/>
          <w:color w:val="000000"/>
          <w:sz w:val="24"/>
        </w:rPr>
        <w:t>Using Afrobarometer Round 9 data from sixteen SADC countries, this term paper investigates whether visible public services are associated with lower levels of severe deprivation, whether service failures cascade across interconnected sectors, and which public services should be prioritised to improve service delivery under resource constraints.</w:t>
      </w:r>
    </w:p>
    <w:p w14:paraId="76992209" w14:textId="77777777" w:rsidR="00C30211" w:rsidRDefault="00000000">
      <w:pPr>
        <w:keepNext/>
        <w:spacing w:before="360" w:after="120"/>
      </w:pPr>
      <w:r>
        <w:rPr>
          <w:rFonts w:ascii="Times New Roman" w:hAnsi="Times New Roman"/>
          <w:b/>
          <w:color w:val="000000"/>
          <w:sz w:val="32"/>
        </w:rPr>
        <w:lastRenderedPageBreak/>
        <w:t>1.2 Research Problem and Objectives</w:t>
      </w:r>
    </w:p>
    <w:p w14:paraId="6BBB9EDD" w14:textId="77777777" w:rsidR="00C30211" w:rsidRDefault="00000000">
      <w:pPr>
        <w:spacing w:after="240"/>
      </w:pPr>
      <w:r>
        <w:rPr>
          <w:rFonts w:ascii="Times New Roman" w:hAnsi="Times New Roman"/>
          <w:color w:val="000000"/>
          <w:sz w:val="24"/>
        </w:rPr>
        <w:t>Despite continued investments in public infrastructure across Southern Africa, significant disparities in access to essential public services remain. Governments frequently evaluate service delivery through measures of infrastructure availability, such as the presence of piped water systems, health clinics, electricity networks, or financial-service facilities. However, these indicators do not necessarily reflect whether citizens are able to access these services consistently or whether the services effectively reduce severe deprivation. As a result, the relationship between visible public infrastructure and households' lived experiences remains insufficiently understood.</w:t>
      </w:r>
    </w:p>
    <w:p w14:paraId="17CA7E32" w14:textId="77777777" w:rsidR="00C30211" w:rsidRDefault="00000000">
      <w:pPr>
        <w:spacing w:after="240"/>
      </w:pPr>
      <w:r>
        <w:rPr>
          <w:rFonts w:ascii="Times New Roman" w:hAnsi="Times New Roman"/>
          <w:color w:val="000000"/>
          <w:sz w:val="24"/>
        </w:rPr>
        <w:t>Previous research has extensively examined public service delivery, governance, and infrastructure development. Studies have shown that institutional quality, accountability, and administrative capacity influence service performance, while others have focused on inequalities in access between urban and rural populations. Nevertheless, relatively few studies directly compare interviewer-observed public infrastructure with respondents' reports of severe service shortages. Even fewer investigate whether failures in one service sector are associated with failures in others, suggesting that public services may function as interconnected systems rather than independent sectors.</w:t>
      </w:r>
    </w:p>
    <w:p w14:paraId="4E580C05" w14:textId="77777777" w:rsidR="00C30211" w:rsidRDefault="00000000">
      <w:pPr>
        <w:spacing w:after="240"/>
      </w:pPr>
      <w:r>
        <w:rPr>
          <w:rFonts w:ascii="Times New Roman" w:hAnsi="Times New Roman"/>
          <w:color w:val="000000"/>
          <w:sz w:val="24"/>
        </w:rPr>
        <w:t>These gaps are particularly relevant in the Southern African Development Community (SADC), where countries continue to expand infrastructure while many households experience persistent shortages of water, healthcare, electricity, and financial resources. Understanding whether visible infrastructure translates into effective service delivery, and whether failures propagate across multiple services, has important implications for both development policy and public-resource allocation.</w:t>
      </w:r>
    </w:p>
    <w:p w14:paraId="22D1FD13" w14:textId="77777777" w:rsidR="00C30211" w:rsidRDefault="00000000">
      <w:pPr>
        <w:spacing w:after="240"/>
      </w:pPr>
      <w:r>
        <w:rPr>
          <w:rFonts w:ascii="Times New Roman" w:hAnsi="Times New Roman"/>
          <w:color w:val="000000"/>
          <w:sz w:val="24"/>
        </w:rPr>
        <w:t>Against this background, this term paper seeks to examine the relationship between infrastructure visibility, severe service shortages, and public-service resilience using Afrobarometer Round 9 data from sixteen SADC countries. The analysis introduces the concept of the Public Service Visibility Paradox to explain situations in which infrastructure is visibly present but citizens continue to experience severe deprivation. It further investigates whether these service mismatches remain isolated or contribute to broader cascading failures across interconnected public-service systems.</w:t>
      </w:r>
    </w:p>
    <w:p w14:paraId="6CE692E6" w14:textId="77777777" w:rsidR="00C30211" w:rsidRDefault="00000000">
      <w:pPr>
        <w:spacing w:after="240"/>
      </w:pPr>
      <w:r>
        <w:rPr>
          <w:rFonts w:ascii="Times New Roman" w:hAnsi="Times New Roman"/>
          <w:color w:val="000000"/>
          <w:sz w:val="24"/>
        </w:rPr>
        <w:t>The study is guided by three research questions:</w:t>
      </w:r>
    </w:p>
    <w:p w14:paraId="649E68F4" w14:textId="77777777" w:rsidR="00C30211" w:rsidRDefault="00000000">
      <w:pPr>
        <w:spacing w:after="120"/>
        <w:ind w:left="360"/>
      </w:pPr>
      <w:r>
        <w:rPr>
          <w:rFonts w:ascii="Times New Roman" w:hAnsi="Times New Roman"/>
          <w:color w:val="000000"/>
          <w:sz w:val="24"/>
        </w:rPr>
        <w:t>1. Are visible public services associated with lower levels of severe shortages in SADC countries?</w:t>
      </w:r>
    </w:p>
    <w:p w14:paraId="2C2D4BF5" w14:textId="77777777" w:rsidR="00C30211" w:rsidRDefault="00000000">
      <w:pPr>
        <w:spacing w:after="120"/>
        <w:ind w:left="360"/>
      </w:pPr>
      <w:r>
        <w:rPr>
          <w:rFonts w:ascii="Times New Roman" w:hAnsi="Times New Roman"/>
          <w:color w:val="000000"/>
          <w:sz w:val="24"/>
        </w:rPr>
        <w:t>2. Do service mismatches remain isolated, or do failures in one public service increase the likelihood of failures in other service sectors?</w:t>
      </w:r>
    </w:p>
    <w:p w14:paraId="60C7BE62" w14:textId="77777777" w:rsidR="00C30211" w:rsidRDefault="00000000">
      <w:pPr>
        <w:spacing w:after="240"/>
        <w:ind w:left="360"/>
      </w:pPr>
      <w:r>
        <w:rPr>
          <w:rFonts w:ascii="Times New Roman" w:hAnsi="Times New Roman"/>
          <w:color w:val="000000"/>
          <w:sz w:val="24"/>
        </w:rPr>
        <w:lastRenderedPageBreak/>
        <w:t>3. Which public services should be prioritised under limited resources to reduce severe deprivation and strengthen overall service resilience?</w:t>
      </w:r>
    </w:p>
    <w:p w14:paraId="69DFA145" w14:textId="77777777" w:rsidR="00C30211" w:rsidRDefault="00000000">
      <w:pPr>
        <w:spacing w:after="240"/>
      </w:pPr>
      <w:r>
        <w:rPr>
          <w:rFonts w:ascii="Times New Roman" w:hAnsi="Times New Roman"/>
          <w:color w:val="000000"/>
          <w:sz w:val="24"/>
        </w:rPr>
        <w:t>To answer these questions, the study pursues the following objectives:</w:t>
      </w:r>
    </w:p>
    <w:p w14:paraId="433AD4F1" w14:textId="77777777" w:rsidR="00C30211" w:rsidRDefault="00000000">
      <w:pPr>
        <w:spacing w:after="80"/>
      </w:pPr>
      <w:r>
        <w:rPr>
          <w:rFonts w:ascii="Times New Roman" w:hAnsi="Times New Roman"/>
          <w:b/>
          <w:color w:val="000000"/>
          <w:sz w:val="24"/>
        </w:rPr>
        <w:t>General Objective</w:t>
      </w:r>
    </w:p>
    <w:p w14:paraId="43080B93" w14:textId="77777777" w:rsidR="00C30211" w:rsidRDefault="00000000">
      <w:pPr>
        <w:spacing w:after="240"/>
      </w:pPr>
      <w:r>
        <w:rPr>
          <w:rFonts w:ascii="Times New Roman" w:hAnsi="Times New Roman"/>
          <w:color w:val="000000"/>
          <w:sz w:val="24"/>
        </w:rPr>
        <w:t>To examine the relationship between visible public infrastructure, severe service shortages, and cascading public-service failures across SADC countries using Afrobarometer Round 9 data.</w:t>
      </w:r>
    </w:p>
    <w:p w14:paraId="26B0E111" w14:textId="77777777" w:rsidR="00C30211" w:rsidRDefault="00000000">
      <w:pPr>
        <w:spacing w:after="80"/>
      </w:pPr>
      <w:r>
        <w:rPr>
          <w:rFonts w:ascii="Times New Roman" w:hAnsi="Times New Roman"/>
          <w:b/>
          <w:color w:val="000000"/>
          <w:sz w:val="24"/>
        </w:rPr>
        <w:t>Specific Objectives</w:t>
      </w:r>
    </w:p>
    <w:p w14:paraId="6AB71AC5" w14:textId="77777777" w:rsidR="00C30211" w:rsidRDefault="00000000">
      <w:pPr>
        <w:spacing w:after="80"/>
        <w:ind w:left="360"/>
      </w:pPr>
      <w:r>
        <w:rPr>
          <w:rFonts w:ascii="Times New Roman" w:hAnsi="Times New Roman"/>
          <w:color w:val="000000"/>
          <w:sz w:val="24"/>
        </w:rPr>
        <w:t>• To determine whether visible public services are associated with lower probabilities of severe shortages.</w:t>
      </w:r>
    </w:p>
    <w:p w14:paraId="0D8AF05B" w14:textId="77777777" w:rsidR="00C30211" w:rsidRDefault="00000000">
      <w:pPr>
        <w:spacing w:after="80"/>
        <w:ind w:left="360"/>
      </w:pPr>
      <w:r>
        <w:rPr>
          <w:rFonts w:ascii="Times New Roman" w:hAnsi="Times New Roman"/>
          <w:color w:val="000000"/>
          <w:sz w:val="24"/>
        </w:rPr>
        <w:t>• To identify service mismatches where infrastructure is present but households still report severe deprivation.</w:t>
      </w:r>
    </w:p>
    <w:p w14:paraId="26337F0B" w14:textId="77777777" w:rsidR="00C30211" w:rsidRDefault="00000000">
      <w:pPr>
        <w:spacing w:after="80"/>
        <w:ind w:left="360"/>
      </w:pPr>
      <w:r>
        <w:rPr>
          <w:rFonts w:ascii="Times New Roman" w:hAnsi="Times New Roman"/>
          <w:color w:val="000000"/>
          <w:sz w:val="24"/>
        </w:rPr>
        <w:t>• To examine whether service mismatches propagate across interconnected public-service sectors.</w:t>
      </w:r>
    </w:p>
    <w:p w14:paraId="209D9460" w14:textId="77777777" w:rsidR="00C30211" w:rsidRDefault="00000000">
      <w:pPr>
        <w:spacing w:after="240"/>
        <w:ind w:left="360"/>
      </w:pPr>
      <w:r>
        <w:rPr>
          <w:rFonts w:ascii="Times New Roman" w:hAnsi="Times New Roman"/>
          <w:color w:val="000000"/>
          <w:sz w:val="24"/>
        </w:rPr>
        <w:t>• To identify which services provide the greatest potential for reducing severe deprivation and which serve as indicators of broader system fragility.</w:t>
      </w:r>
    </w:p>
    <w:p w14:paraId="5851F65F" w14:textId="77777777" w:rsidR="00C30211" w:rsidRDefault="00000000">
      <w:pPr>
        <w:keepNext/>
        <w:spacing w:before="360" w:after="120"/>
      </w:pPr>
      <w:r>
        <w:rPr>
          <w:rFonts w:ascii="Times New Roman" w:hAnsi="Times New Roman"/>
          <w:b/>
          <w:color w:val="000000"/>
          <w:sz w:val="32"/>
        </w:rPr>
        <w:t>1.3 Research Hypotheses</w:t>
      </w:r>
    </w:p>
    <w:p w14:paraId="5B658FFF" w14:textId="77777777" w:rsidR="00C30211" w:rsidRDefault="00000000">
      <w:pPr>
        <w:spacing w:after="240"/>
      </w:pPr>
      <w:r>
        <w:rPr>
          <w:rFonts w:ascii="Times New Roman" w:hAnsi="Times New Roman"/>
          <w:color w:val="000000"/>
          <w:sz w:val="24"/>
        </w:rPr>
        <w:t>Based on the research questions and the theoretical framework presented in Chapter 2, this study develops eight hypotheses that examine the relationship between visible public infrastructure, severe service shortages, and cascading failures across interconnected public-service systems.</w:t>
      </w:r>
    </w:p>
    <w:p w14:paraId="625222A5" w14:textId="77777777" w:rsidR="00C30211" w:rsidRDefault="00000000">
      <w:pPr>
        <w:keepNext/>
        <w:spacing w:after="80"/>
      </w:pPr>
      <w:r>
        <w:rPr>
          <w:rFonts w:ascii="Times New Roman" w:hAnsi="Times New Roman"/>
          <w:b/>
          <w:color w:val="000000"/>
          <w:sz w:val="24"/>
        </w:rPr>
        <w:t>H1: Service Visibility Hypothesis</w:t>
      </w:r>
    </w:p>
    <w:p w14:paraId="0407FB32" w14:textId="77777777" w:rsidR="00C30211" w:rsidRDefault="00000000">
      <w:pPr>
        <w:spacing w:after="240"/>
        <w:ind w:left="360"/>
      </w:pPr>
      <w:r>
        <w:rPr>
          <w:rFonts w:ascii="Times New Roman" w:hAnsi="Times New Roman"/>
          <w:i/>
          <w:color w:val="000000"/>
          <w:sz w:val="24"/>
        </w:rPr>
        <w:t>Visible public services are expected to be associated with lower probabilities of severe related shortages. Communities with visible piped water systems, health clinics, electricity grids, and financial-service facilities are expected to experience fewer severe shortages than communities where these services are absent.</w:t>
      </w:r>
    </w:p>
    <w:p w14:paraId="413C6C2E" w14:textId="77777777" w:rsidR="00C30211" w:rsidRDefault="00000000">
      <w:pPr>
        <w:keepNext/>
        <w:spacing w:after="80"/>
      </w:pPr>
      <w:r>
        <w:rPr>
          <w:rFonts w:ascii="Times New Roman" w:hAnsi="Times New Roman"/>
          <w:b/>
          <w:color w:val="000000"/>
          <w:sz w:val="24"/>
        </w:rPr>
        <w:t>H2: Service Mismatch Hypothesis</w:t>
      </w:r>
    </w:p>
    <w:p w14:paraId="460EF155" w14:textId="77777777" w:rsidR="00C30211" w:rsidRDefault="00000000">
      <w:pPr>
        <w:spacing w:after="240"/>
        <w:ind w:left="360"/>
      </w:pPr>
      <w:r>
        <w:rPr>
          <w:rFonts w:ascii="Times New Roman" w:hAnsi="Times New Roman"/>
          <w:i/>
          <w:color w:val="000000"/>
          <w:sz w:val="24"/>
        </w:rPr>
        <w:t>Visible public infrastructure does not always eliminate severe deprivation. Service mismatches are expected to occur when infrastructure is present but households still report always going without the corresponding service.</w:t>
      </w:r>
    </w:p>
    <w:p w14:paraId="464D34CD" w14:textId="77777777" w:rsidR="00C30211" w:rsidRDefault="00000000">
      <w:pPr>
        <w:keepNext/>
        <w:spacing w:after="80"/>
      </w:pPr>
      <w:r>
        <w:rPr>
          <w:rFonts w:ascii="Times New Roman" w:hAnsi="Times New Roman"/>
          <w:b/>
          <w:color w:val="000000"/>
          <w:sz w:val="24"/>
        </w:rPr>
        <w:t>H3: Cash Bottleneck Hypothesis</w:t>
      </w:r>
    </w:p>
    <w:p w14:paraId="1AEF7E08" w14:textId="77777777" w:rsidR="00C30211" w:rsidRDefault="00000000">
      <w:pPr>
        <w:spacing w:after="240"/>
        <w:ind w:left="360"/>
      </w:pPr>
      <w:r>
        <w:rPr>
          <w:rFonts w:ascii="Times New Roman" w:hAnsi="Times New Roman"/>
          <w:i/>
          <w:color w:val="000000"/>
          <w:sz w:val="24"/>
        </w:rPr>
        <w:t>Cash Access Mismatch is expected to increase the likelihood of Health Clinic, Water, and Electricity/Fuel mismatches. Financial-service failure is therefore expected to function as a primary transmission mechanism within the public-service system.</w:t>
      </w:r>
    </w:p>
    <w:p w14:paraId="70C2BF69" w14:textId="77777777" w:rsidR="00C30211" w:rsidRDefault="00000000">
      <w:pPr>
        <w:keepNext/>
        <w:spacing w:after="80"/>
      </w:pPr>
      <w:r>
        <w:rPr>
          <w:rFonts w:ascii="Times New Roman" w:hAnsi="Times New Roman"/>
          <w:b/>
          <w:color w:val="000000"/>
          <w:sz w:val="24"/>
        </w:rPr>
        <w:lastRenderedPageBreak/>
        <w:t>H4: Health Transmission Hypothesis</w:t>
      </w:r>
    </w:p>
    <w:p w14:paraId="7A361C6C" w14:textId="77777777" w:rsidR="00C30211" w:rsidRDefault="00000000">
      <w:pPr>
        <w:spacing w:after="240"/>
        <w:ind w:left="360"/>
      </w:pPr>
      <w:r>
        <w:rPr>
          <w:rFonts w:ascii="Times New Roman" w:hAnsi="Times New Roman"/>
          <w:i/>
          <w:color w:val="000000"/>
          <w:sz w:val="24"/>
        </w:rPr>
        <w:t>Health Clinic Mismatch is expected to be positively associated with Water and Electricity/Fuel mismatches, suggesting that healthcare failures represent an important secondary transmission pathway across interconnected public services.</w:t>
      </w:r>
    </w:p>
    <w:p w14:paraId="08ED500D" w14:textId="77777777" w:rsidR="00C30211" w:rsidRDefault="00000000">
      <w:pPr>
        <w:keepNext/>
        <w:spacing w:after="80"/>
      </w:pPr>
      <w:r>
        <w:rPr>
          <w:rFonts w:ascii="Times New Roman" w:hAnsi="Times New Roman"/>
          <w:b/>
          <w:color w:val="000000"/>
          <w:sz w:val="24"/>
        </w:rPr>
        <w:t>H5: Double Whammy Hypothesis</w:t>
      </w:r>
    </w:p>
    <w:p w14:paraId="1324BD18" w14:textId="77777777" w:rsidR="00C30211" w:rsidRDefault="00000000">
      <w:pPr>
        <w:spacing w:after="240"/>
        <w:ind w:left="360"/>
      </w:pPr>
      <w:r>
        <w:rPr>
          <w:rFonts w:ascii="Times New Roman" w:hAnsi="Times New Roman"/>
          <w:i/>
          <w:color w:val="000000"/>
          <w:sz w:val="24"/>
        </w:rPr>
        <w:t>Communities simultaneously experiencing Cash Access Mismatch and Health Clinic Mismatch are expected to face higher risks of Water and Electricity/Fuel mismatches than communities experiencing only one of these failures.</w:t>
      </w:r>
    </w:p>
    <w:p w14:paraId="0377084E" w14:textId="77777777" w:rsidR="00C30211" w:rsidRDefault="00000000">
      <w:pPr>
        <w:keepNext/>
        <w:spacing w:after="80"/>
      </w:pPr>
      <w:r>
        <w:rPr>
          <w:rFonts w:ascii="Times New Roman" w:hAnsi="Times New Roman"/>
          <w:b/>
          <w:color w:val="000000"/>
          <w:sz w:val="24"/>
        </w:rPr>
        <w:t>H6: Urban Trap Hypothesis</w:t>
      </w:r>
    </w:p>
    <w:p w14:paraId="08864FDD" w14:textId="77777777" w:rsidR="00C30211" w:rsidRDefault="00000000">
      <w:pPr>
        <w:spacing w:after="240"/>
        <w:ind w:left="360"/>
      </w:pPr>
      <w:r>
        <w:rPr>
          <w:rFonts w:ascii="Times New Roman" w:hAnsi="Times New Roman"/>
          <w:i/>
          <w:color w:val="000000"/>
          <w:sz w:val="24"/>
        </w:rPr>
        <w:t>Urban communities are not expected to be fully protected from cascading service failures. In some cases, stronger dependence on formal infrastructure systems may result in larger cash-related spillover effects than those observed in rural areas.</w:t>
      </w:r>
    </w:p>
    <w:p w14:paraId="23B27541" w14:textId="77777777" w:rsidR="00C30211" w:rsidRDefault="00000000">
      <w:pPr>
        <w:keepNext/>
        <w:spacing w:after="80"/>
      </w:pPr>
      <w:r>
        <w:rPr>
          <w:rFonts w:ascii="Times New Roman" w:hAnsi="Times New Roman"/>
          <w:b/>
          <w:color w:val="000000"/>
          <w:sz w:val="24"/>
        </w:rPr>
        <w:t>H7: Governance Frontier Hypothesis</w:t>
      </w:r>
    </w:p>
    <w:p w14:paraId="1048F949" w14:textId="77777777" w:rsidR="00C30211" w:rsidRDefault="00000000">
      <w:pPr>
        <w:spacing w:after="240"/>
        <w:ind w:left="360"/>
      </w:pPr>
      <w:r>
        <w:rPr>
          <w:rFonts w:ascii="Times New Roman" w:hAnsi="Times New Roman"/>
          <w:i/>
          <w:color w:val="000000"/>
          <w:sz w:val="24"/>
        </w:rPr>
        <w:t>Countries characterised by stronger governance and institutional capacity are expected to exhibit weaker cascading service failures than countries with lower governance capacity, although infrastructure vulnerabilities may still remain.</w:t>
      </w:r>
    </w:p>
    <w:p w14:paraId="5A90219C" w14:textId="77777777" w:rsidR="00C30211" w:rsidRDefault="00000000">
      <w:pPr>
        <w:keepNext/>
        <w:spacing w:after="80"/>
      </w:pPr>
      <w:r>
        <w:rPr>
          <w:rFonts w:ascii="Times New Roman" w:hAnsi="Times New Roman"/>
          <w:b/>
          <w:color w:val="000000"/>
          <w:sz w:val="24"/>
        </w:rPr>
        <w:t>H8: Public Service Priority Hypothesis</w:t>
      </w:r>
    </w:p>
    <w:p w14:paraId="6666516F" w14:textId="77777777" w:rsidR="00C30211" w:rsidRDefault="00000000">
      <w:pPr>
        <w:spacing w:after="240"/>
        <w:ind w:left="360"/>
      </w:pPr>
      <w:r>
        <w:rPr>
          <w:rFonts w:ascii="Times New Roman" w:hAnsi="Times New Roman"/>
          <w:i/>
          <w:color w:val="000000"/>
          <w:sz w:val="24"/>
        </w:rPr>
        <w:t>Public services are expected to differ in their contribution to reducing severe deprivation. Some services will function primarily as preventive investments, while others will provide stronger signals of broader system fragility, allowing governments to prioritise interventions under limited resources.</w:t>
      </w:r>
    </w:p>
    <w:p w14:paraId="7E4F0183" w14:textId="77777777" w:rsidR="00C30211" w:rsidRDefault="00000000">
      <w:pPr>
        <w:spacing w:after="240"/>
      </w:pPr>
      <w:r>
        <w:rPr>
          <w:rFonts w:ascii="Times New Roman" w:hAnsi="Times New Roman"/>
          <w:color w:val="000000"/>
          <w:sz w:val="24"/>
        </w:rPr>
        <w:t>These hypotheses provide the analytical framework for the empirical chapters. Chapter 4 presents the descriptive evidence on service visibility, severe shortages, and service mismatches, while Chapter 5 evaluates each hypothesis using multivariate regression models and comparative analyses across the sixteen SADC countries included in the study.</w:t>
      </w:r>
    </w:p>
    <w:p w14:paraId="37F9F7E6" w14:textId="77777777" w:rsidR="00C30211" w:rsidRDefault="00000000">
      <w:pPr>
        <w:keepNext/>
        <w:spacing w:before="360" w:after="120"/>
      </w:pPr>
      <w:r>
        <w:rPr>
          <w:rFonts w:ascii="Times New Roman" w:hAnsi="Times New Roman"/>
          <w:b/>
          <w:color w:val="000000"/>
          <w:sz w:val="32"/>
        </w:rPr>
        <w:t>1.4 Organisation of the Term Paper</w:t>
      </w:r>
    </w:p>
    <w:p w14:paraId="0BA80F65" w14:textId="77777777" w:rsidR="00C30211" w:rsidRDefault="00000000">
      <w:pPr>
        <w:spacing w:after="240"/>
      </w:pPr>
      <w:r>
        <w:rPr>
          <w:rFonts w:ascii="Times New Roman" w:hAnsi="Times New Roman"/>
          <w:color w:val="000000"/>
          <w:sz w:val="24"/>
        </w:rPr>
        <w:t>This term paper is organised into six chapters. Following this introductory chapter, Chapter 2 reviews the literature on public service delivery, infrastructure effectiveness, governance, interconnected service systems, and public-service prioritisation. It also introduces the theoretical framework underpinning the Public Service Visibility Paradox and identifies the research gap addressed by this study.</w:t>
      </w:r>
    </w:p>
    <w:p w14:paraId="49634B31" w14:textId="77777777" w:rsidR="00C30211" w:rsidRDefault="00000000">
      <w:pPr>
        <w:spacing w:after="240"/>
      </w:pPr>
      <w:r>
        <w:rPr>
          <w:rFonts w:ascii="Times New Roman" w:hAnsi="Times New Roman"/>
          <w:color w:val="000000"/>
          <w:sz w:val="24"/>
        </w:rPr>
        <w:t>Chapter 3 describes the data and methodology used in the empirical analysis. It presents the Afrobarometer Round 9 dataset, explains the construction of the service-presence, severe-</w:t>
      </w:r>
      <w:r>
        <w:rPr>
          <w:rFonts w:ascii="Times New Roman" w:hAnsi="Times New Roman"/>
          <w:color w:val="000000"/>
          <w:sz w:val="24"/>
        </w:rPr>
        <w:lastRenderedPageBreak/>
        <w:t>shortage, and service-mismatch variables, and outlines the descriptive and regression methods used to evaluate the research hypotheses.</w:t>
      </w:r>
    </w:p>
    <w:p w14:paraId="014864CE" w14:textId="77777777" w:rsidR="00C30211" w:rsidRDefault="00000000">
      <w:pPr>
        <w:spacing w:after="240"/>
      </w:pPr>
      <w:r>
        <w:rPr>
          <w:rFonts w:ascii="Times New Roman" w:hAnsi="Times New Roman"/>
          <w:color w:val="000000"/>
          <w:sz w:val="24"/>
        </w:rPr>
        <w:t>Chapter 4 presents the descriptive analysis of public-service visibility and severe shortages across the sixteen SADC countries. It reports overall mismatch rates, urban–rural comparisons, country rankings, service hotspots, and the relationship between visible infrastructure and severe shortages. These descriptive findings establish the empirical foundation for the regression analyses presented in the following chapter.</w:t>
      </w:r>
    </w:p>
    <w:p w14:paraId="514FE9AF" w14:textId="77777777" w:rsidR="00C30211" w:rsidRDefault="00000000">
      <w:pPr>
        <w:spacing w:after="240"/>
      </w:pPr>
      <w:r>
        <w:rPr>
          <w:rFonts w:ascii="Times New Roman" w:hAnsi="Times New Roman"/>
          <w:color w:val="000000"/>
          <w:sz w:val="24"/>
        </w:rPr>
        <w:t>Chapter 5 presents the regression analyses used to test the study hypotheses. The chapter evaluates the Service Visibility, Cash Bottleneck, Health Transmission, Double Whammy, Urban Trap, Governance Frontier, and Public Service Priority hypotheses. Together, these models examine whether visible infrastructure reduces severe shortages, whether service failures cascade across interconnected public-service systems, and which services should be prioritised under conditions of limited public resources.</w:t>
      </w:r>
    </w:p>
    <w:p w14:paraId="01C4B6EC" w14:textId="77777777" w:rsidR="00C30211" w:rsidRDefault="00000000">
      <w:pPr>
        <w:spacing w:after="240"/>
      </w:pPr>
      <w:r>
        <w:rPr>
          <w:rFonts w:ascii="Times New Roman" w:hAnsi="Times New Roman"/>
          <w:color w:val="000000"/>
          <w:sz w:val="24"/>
        </w:rPr>
        <w:t>Finally, Chapter 6 integrates the discussion and conclusions of the study. It interprets the empirical findings in relation to the existing literature, answers the research questions, evaluates the hypotheses, discusses the theoretical and policy implications of the findings, acknowledges the study's limitations, and provides recommendations for future research. The chapter concludes by reflecting on the broader contribution of the Public Service Visibility Paradox to understanding public-service delivery and resilience across SADC countries.</w:t>
      </w:r>
    </w:p>
    <w:p w14:paraId="72AA1A3A" w14:textId="77777777" w:rsidR="00C30211" w:rsidRDefault="00000000">
      <w:pPr>
        <w:spacing w:after="240"/>
      </w:pPr>
      <w:r>
        <w:rPr>
          <w:rFonts w:ascii="Times New Roman" w:hAnsi="Times New Roman"/>
          <w:color w:val="000000"/>
          <w:sz w:val="24"/>
        </w:rPr>
        <w:t>Overall, the term paper combines descriptive statistics with multivariate regression analysis to examine the relationship between visible public infrastructure, severe service shortages, and cascading service failures. By integrating these approaches within the framework of the Public Service Visibility Paradox, the study contributes to a deeper understanding of how infrastructure visibility, effective service delivery, and public-service resilience interact across Southern Africa.</w:t>
      </w:r>
    </w:p>
    <w:sectPr w:rsidR="00C3021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4258981">
    <w:abstractNumId w:val="8"/>
  </w:num>
  <w:num w:numId="2" w16cid:durableId="544828818">
    <w:abstractNumId w:val="6"/>
  </w:num>
  <w:num w:numId="3" w16cid:durableId="646937619">
    <w:abstractNumId w:val="5"/>
  </w:num>
  <w:num w:numId="4" w16cid:durableId="1821922464">
    <w:abstractNumId w:val="4"/>
  </w:num>
  <w:num w:numId="5" w16cid:durableId="1948929713">
    <w:abstractNumId w:val="7"/>
  </w:num>
  <w:num w:numId="6" w16cid:durableId="378475945">
    <w:abstractNumId w:val="3"/>
  </w:num>
  <w:num w:numId="7" w16cid:durableId="988552718">
    <w:abstractNumId w:val="2"/>
  </w:num>
  <w:num w:numId="8" w16cid:durableId="317853631">
    <w:abstractNumId w:val="1"/>
  </w:num>
  <w:num w:numId="9" w16cid:durableId="1399326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740D2"/>
    <w:rsid w:val="00AA1D8D"/>
    <w:rsid w:val="00B07C57"/>
    <w:rsid w:val="00B47730"/>
    <w:rsid w:val="00C3021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E1F70C"/>
  <w14:defaultImageDpi w14:val="300"/>
  <w15:docId w15:val="{38C8AD3A-FB7C-42AF-98E9-972BB7D0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1836</Words>
  <Characters>10468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Nsika Mbingo</cp:lastModifiedBy>
  <cp:revision>2</cp:revision>
  <dcterms:created xsi:type="dcterms:W3CDTF">2026-06-26T22:27:00Z</dcterms:created>
  <dcterms:modified xsi:type="dcterms:W3CDTF">2026-06-26T22:27:00Z</dcterms:modified>
  <cp:category/>
</cp:coreProperties>
</file>