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2B019" w14:textId="75A08A53" w:rsidR="00A333C3" w:rsidRPr="00091DB3" w:rsidRDefault="00F4120E" w:rsidP="00F4120E">
      <w:pPr>
        <w:keepNext/>
        <w:spacing w:before="360"/>
        <w:jc w:val="center"/>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t xml:space="preserve">Chapter </w:t>
      </w:r>
      <w:r w:rsidRPr="00091DB3">
        <w:rPr>
          <w:rFonts w:ascii="Times New Roman" w:hAnsi="Times New Roman" w:cs="Times New Roman"/>
          <w:b/>
          <w:color w:val="000000" w:themeColor="text1"/>
          <w:sz w:val="36"/>
          <w:szCs w:val="36"/>
        </w:rPr>
        <w:t>5</w:t>
      </w:r>
      <w:r w:rsidR="00507B15">
        <w:rPr>
          <w:rFonts w:ascii="Times New Roman" w:hAnsi="Times New Roman" w:cs="Times New Roman"/>
          <w:b/>
          <w:color w:val="000000" w:themeColor="text1"/>
          <w:sz w:val="36"/>
          <w:szCs w:val="36"/>
        </w:rPr>
        <w:t>.</w:t>
      </w:r>
      <w:r w:rsidRPr="00091DB3">
        <w:rPr>
          <w:rFonts w:ascii="Times New Roman" w:hAnsi="Times New Roman" w:cs="Times New Roman"/>
          <w:b/>
          <w:color w:val="000000" w:themeColor="text1"/>
          <w:sz w:val="36"/>
          <w:szCs w:val="36"/>
        </w:rPr>
        <w:t xml:space="preserve"> Regression Analyses</w:t>
      </w:r>
    </w:p>
    <w:p w14:paraId="63CA573E" w14:textId="77777777" w:rsidR="00A333C3" w:rsidRPr="00091DB3" w:rsidRDefault="00000000">
      <w:pPr>
        <w:keepNext/>
        <w:spacing w:before="280" w:after="80"/>
        <w:rPr>
          <w:rFonts w:ascii="Times New Roman" w:hAnsi="Times New Roman" w:cs="Times New Roman"/>
          <w:color w:val="000000" w:themeColor="text1"/>
          <w:sz w:val="32"/>
          <w:szCs w:val="32"/>
        </w:rPr>
      </w:pPr>
      <w:r w:rsidRPr="00091DB3">
        <w:rPr>
          <w:rFonts w:ascii="Times New Roman" w:hAnsi="Times New Roman" w:cs="Times New Roman"/>
          <w:b/>
          <w:color w:val="000000" w:themeColor="text1"/>
          <w:sz w:val="32"/>
          <w:szCs w:val="32"/>
        </w:rPr>
        <w:t>5.1 Regression Strategy</w:t>
      </w:r>
    </w:p>
    <w:p w14:paraId="6481CD2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analysis tests the eight hypotheses developed in the conceptual framework. While the descriptive analysis established that service mismatches exist across the sample, the regression models examine whether these mismatches are systematically related to service presence, financial access, health-service failure, settlement type, and country context. The purpose is therefore not only to report whether visible public services exist, but to evaluate whether service visibility reduces severe shortages and whether failures in one sector are associated with failures in other sectors.</w:t>
      </w:r>
    </w:p>
    <w:p w14:paraId="62A80CA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dependent variables in this chapter are binary. A respondent either experiences a severe shortage or does not; similarly, a service mismatch either occurs or does not occur. For that reason, logistic regression is used as the main modelling approach. Logistic regression is appropriate because it estimates the probability of an event occurring when the outcome is coded as 0 or 1. In this case, the event of interest is severe shortage or severe service mismatch.</w:t>
      </w:r>
    </w:p>
    <w:p w14:paraId="63FA91C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For final consistency with the regression results presented in the project review, the regression models use a strict definition of severe shortage. A severe shortage is coded as 1 when the respondent reports always going without the relevant service, corresponding to Q6 = 4. A severe mismatch is coded as 1 when a service is visibly present in the enumeration area and the respondent still reports always going without the corresponding service. This means that the regression chapter focuses on the most persistent form of service failure, rather than occasional or moderate shortages.</w:t>
      </w:r>
    </w:p>
    <w:p w14:paraId="1EB745B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general logistic regression model can be written as:</w:t>
      </w:r>
    </w:p>
    <w:p w14:paraId="77FAC084" w14:textId="77777777" w:rsidR="00A333C3" w:rsidRPr="00791B1B" w:rsidRDefault="00000000">
      <w:pPr>
        <w:spacing w:before="240" w:after="240"/>
        <w:jc w:val="center"/>
        <w:rPr>
          <w:rFonts w:ascii="Times New Roman" w:hAnsi="Times New Roman" w:cs="Times New Roman"/>
          <w:color w:val="000000" w:themeColor="text1"/>
          <w:sz w:val="24"/>
          <w:szCs w:val="24"/>
        </w:rPr>
      </w:pPr>
      <w:proofErr w:type="gramStart"/>
      <w:r w:rsidRPr="00791B1B">
        <w:rPr>
          <w:rFonts w:ascii="Times New Roman" w:hAnsi="Times New Roman" w:cs="Times New Roman"/>
          <w:b/>
          <w:color w:val="000000" w:themeColor="text1"/>
          <w:sz w:val="24"/>
          <w:szCs w:val="24"/>
        </w:rPr>
        <w:t>log( P</w:t>
      </w:r>
      <w:proofErr w:type="gramEnd"/>
      <w:r w:rsidRPr="00791B1B">
        <w:rPr>
          <w:rFonts w:ascii="Times New Roman" w:hAnsi="Times New Roman" w:cs="Times New Roman"/>
          <w:b/>
          <w:color w:val="000000" w:themeColor="text1"/>
          <w:sz w:val="24"/>
          <w:szCs w:val="24"/>
        </w:rPr>
        <w:t>(Y = 1) / (1 - P(Y = 1)) ) = β₀ + β₁X₁ + β₂X₂ + ... + βₖXₖ</w:t>
      </w:r>
    </w:p>
    <w:p w14:paraId="69B880E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where Y is the severe shortage or mismatch outcome, and X represents the service-presence or mismatch predictors. A positive coefficient means that the predictor is associated with higher odds of the outcome. A negative coefficient means that the predictor is associated with lower odds of the outcome. Because logistic coefficients are not directly intuitive, the results are also interpreted using odds ratios. An odds ratio above 1 indicates higher odds of the outcome, while an odds ratio below 1 indicates lower odds.</w:t>
      </w:r>
    </w:p>
    <w:p w14:paraId="663564E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The regression sample contains 22,310 observations after removing missing values from the service-presence, shortage, location, and country variables. The models are organized in the same order as the hypotheses. H1 tests whether visible services reduce severe shortages. H2 confirms whether severe mismatches remain present despite visible infrastructure. H3 and H4 test whether Cash Access Mismatch and Health Clinic Mismatch act as transmission nodes. H5 </w:t>
      </w:r>
      <w:r w:rsidRPr="00791B1B">
        <w:rPr>
          <w:rFonts w:ascii="Times New Roman" w:hAnsi="Times New Roman" w:cs="Times New Roman"/>
          <w:color w:val="000000" w:themeColor="text1"/>
          <w:sz w:val="24"/>
          <w:szCs w:val="24"/>
        </w:rPr>
        <w:lastRenderedPageBreak/>
        <w:t>examines whether cash and health failures jointly increase water and electricity/fuel mismatches. H6 tests whether urban areas are shielded from cascades. H7 compares governance contexts using Mauritius and Zimbabwe. H8 evaluates whether services work better as a package and which services are associated with the strongest reduction in multiple severe shortages.</w:t>
      </w:r>
    </w:p>
    <w:p w14:paraId="296C9CA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 representative R specification is shown below:</w:t>
      </w:r>
    </w:p>
    <w:p w14:paraId="46C1947F"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model_water_basic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severe_water_shortage ~</w:t>
      </w:r>
      <w:r w:rsidRPr="00791B1B">
        <w:rPr>
          <w:rFonts w:ascii="Times New Roman" w:hAnsi="Times New Roman" w:cs="Times New Roman"/>
          <w:color w:val="000000" w:themeColor="text1"/>
          <w:sz w:val="24"/>
          <w:szCs w:val="24"/>
        </w:rPr>
        <w:br/>
        <w:t xml:space="preserve">    piped_water_present +</w:t>
      </w:r>
      <w:r w:rsidRPr="00791B1B">
        <w:rPr>
          <w:rFonts w:ascii="Times New Roman" w:hAnsi="Times New Roman" w:cs="Times New Roman"/>
          <w:color w:val="000000" w:themeColor="text1"/>
          <w:sz w:val="24"/>
          <w:szCs w:val="24"/>
        </w:rPr>
        <w:br/>
        <w:t xml:space="preserve">    health_clinic_present +</w:t>
      </w:r>
      <w:r w:rsidRPr="00791B1B">
        <w:rPr>
          <w:rFonts w:ascii="Times New Roman" w:hAnsi="Times New Roman" w:cs="Times New Roman"/>
          <w:color w:val="000000" w:themeColor="text1"/>
          <w:sz w:val="24"/>
          <w:szCs w:val="24"/>
        </w:rPr>
        <w:br/>
        <w:t xml:space="preserve">    electricity_grid_present +</w:t>
      </w:r>
      <w:r w:rsidRPr="00791B1B">
        <w:rPr>
          <w:rFonts w:ascii="Times New Roman" w:hAnsi="Times New Roman" w:cs="Times New Roman"/>
          <w:color w:val="000000" w:themeColor="text1"/>
          <w:sz w:val="24"/>
          <w:szCs w:val="24"/>
        </w:rPr>
        <w:br/>
        <w:t xml:space="preserve">    money_services_present +</w:t>
      </w:r>
      <w:r w:rsidRPr="00791B1B">
        <w:rPr>
          <w:rFonts w:ascii="Times New Roman" w:hAnsi="Times New Roman" w:cs="Times New Roman"/>
          <w:color w:val="000000" w:themeColor="text1"/>
          <w:sz w:val="24"/>
          <w:szCs w:val="24"/>
        </w:rPr>
        <w:br/>
        <w:t xml:space="preserve">    location_type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data = reg_data,</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w:t>
      </w:r>
    </w:p>
    <w:p w14:paraId="0B6A94F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This model estimates whether visible public services are associated with the probability of severe water shortage while controlling for settlement type and country. Similar logistic models are estimated for medical-care shortage, cooking-fuel shortage, cash-income shortage, and each mismatch outcome. The following sections report the key coefficients, odds ratios, and p-values required to evaluate each hypothesis.</w:t>
      </w:r>
    </w:p>
    <w:p w14:paraId="12E1B6DA" w14:textId="77777777" w:rsidR="00A333C3" w:rsidRPr="00091DB3" w:rsidRDefault="00000000">
      <w:pPr>
        <w:keepNext/>
        <w:spacing w:before="280" w:after="80"/>
        <w:rPr>
          <w:rFonts w:ascii="Times New Roman" w:hAnsi="Times New Roman" w:cs="Times New Roman"/>
          <w:color w:val="000000" w:themeColor="text1"/>
          <w:sz w:val="32"/>
          <w:szCs w:val="32"/>
        </w:rPr>
      </w:pPr>
      <w:r w:rsidRPr="00D00FD4">
        <w:rPr>
          <w:rFonts w:ascii="Times New Roman" w:hAnsi="Times New Roman" w:cs="Times New Roman"/>
          <w:b/>
          <w:color w:val="000000" w:themeColor="text1"/>
          <w:sz w:val="28"/>
          <w:szCs w:val="28"/>
        </w:rPr>
        <w:t>5.2 Stage One: Do Visible Public Services Reduce Severe Shortages? (H1)</w:t>
      </w:r>
    </w:p>
    <w:p w14:paraId="78308AFB"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1: Service Visibility Hypothesis</w:t>
      </w:r>
    </w:p>
    <w:p w14:paraId="7950AB7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first hypothesis evaluates the fundamental assumption underlying public service provision. If visible infrastructure functions as intended, communities where public services are present should experience lower probabilities of severe shortages than comparable communities without those services. Four logistic regression models were estimated, corresponding to severe water shortage, severe medical-care shortage, severe cooking-fuel shortage, and severe cash-income shortage. Each model includes the four service-presence variables together with controls for settlement type and country to account for geographical and institutional differences across the sixteen countries included in the analysis.</w:t>
      </w:r>
    </w:p>
    <w:p w14:paraId="26CE6D1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representative model specification is shown below.</w:t>
      </w:r>
    </w:p>
    <w:p w14:paraId="583CC1A2"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model_water_basic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severe_water_shortage ~</w:t>
      </w:r>
      <w:r w:rsidRPr="00791B1B">
        <w:rPr>
          <w:rFonts w:ascii="Times New Roman" w:hAnsi="Times New Roman" w:cs="Times New Roman"/>
          <w:color w:val="000000" w:themeColor="text1"/>
          <w:sz w:val="24"/>
          <w:szCs w:val="24"/>
        </w:rPr>
        <w:br/>
        <w:t xml:space="preserve">    piped_water_present +</w:t>
      </w:r>
      <w:r w:rsidRPr="00791B1B">
        <w:rPr>
          <w:rFonts w:ascii="Times New Roman" w:hAnsi="Times New Roman" w:cs="Times New Roman"/>
          <w:color w:val="000000" w:themeColor="text1"/>
          <w:sz w:val="24"/>
          <w:szCs w:val="24"/>
        </w:rPr>
        <w:br/>
        <w:t xml:space="preserve">    health_clinic_present +</w:t>
      </w:r>
      <w:r w:rsidRPr="00791B1B">
        <w:rPr>
          <w:rFonts w:ascii="Times New Roman" w:hAnsi="Times New Roman" w:cs="Times New Roman"/>
          <w:color w:val="000000" w:themeColor="text1"/>
          <w:sz w:val="24"/>
          <w:szCs w:val="24"/>
        </w:rPr>
        <w:br/>
        <w:t xml:space="preserve">    electricity_grid_present +</w:t>
      </w:r>
      <w:r w:rsidRPr="00791B1B">
        <w:rPr>
          <w:rFonts w:ascii="Times New Roman" w:hAnsi="Times New Roman" w:cs="Times New Roman"/>
          <w:color w:val="000000" w:themeColor="text1"/>
          <w:sz w:val="24"/>
          <w:szCs w:val="24"/>
        </w:rPr>
        <w:br/>
      </w:r>
      <w:r w:rsidRPr="00791B1B">
        <w:rPr>
          <w:rFonts w:ascii="Times New Roman" w:hAnsi="Times New Roman" w:cs="Times New Roman"/>
          <w:color w:val="000000" w:themeColor="text1"/>
          <w:sz w:val="24"/>
          <w:szCs w:val="24"/>
        </w:rPr>
        <w:lastRenderedPageBreak/>
        <w:t xml:space="preserve">    money_services_present +</w:t>
      </w:r>
      <w:r w:rsidRPr="00791B1B">
        <w:rPr>
          <w:rFonts w:ascii="Times New Roman" w:hAnsi="Times New Roman" w:cs="Times New Roman"/>
          <w:color w:val="000000" w:themeColor="text1"/>
          <w:sz w:val="24"/>
          <w:szCs w:val="24"/>
        </w:rPr>
        <w:br/>
        <w:t xml:space="preserve">    location_type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data = reg_data,</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w:t>
      </w:r>
    </w:p>
    <w:p w14:paraId="2DDD445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are summarized in Table 5.1.</w:t>
      </w:r>
    </w:p>
    <w:p w14:paraId="1C945577"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t>Table 5.1. Service Presence Models Predicting Severe Shortages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1872"/>
        <w:gridCol w:w="1872"/>
        <w:gridCol w:w="1872"/>
        <w:gridCol w:w="1872"/>
        <w:gridCol w:w="1872"/>
      </w:tblGrid>
      <w:tr w:rsidR="00791B1B" w:rsidRPr="00791B1B" w14:paraId="1528435B" w14:textId="77777777">
        <w:trPr>
          <w:jc w:val="center"/>
        </w:trPr>
        <w:tc>
          <w:tcPr>
            <w:tcW w:w="1872" w:type="dxa"/>
            <w:shd w:val="clear" w:color="auto" w:fill="1B365D"/>
            <w:tcMar>
              <w:top w:w="120" w:type="dxa"/>
              <w:left w:w="150" w:type="dxa"/>
              <w:bottom w:w="120" w:type="dxa"/>
              <w:right w:w="150" w:type="dxa"/>
            </w:tcMar>
          </w:tcPr>
          <w:p w14:paraId="019F7A1F"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Predictor</w:t>
            </w:r>
          </w:p>
        </w:tc>
        <w:tc>
          <w:tcPr>
            <w:tcW w:w="1872" w:type="dxa"/>
            <w:shd w:val="clear" w:color="auto" w:fill="1B365D"/>
            <w:tcMar>
              <w:top w:w="120" w:type="dxa"/>
              <w:left w:w="150" w:type="dxa"/>
              <w:bottom w:w="120" w:type="dxa"/>
              <w:right w:w="150" w:type="dxa"/>
            </w:tcMar>
          </w:tcPr>
          <w:p w14:paraId="5E1C9A1A"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β</w:t>
            </w:r>
          </w:p>
        </w:tc>
        <w:tc>
          <w:tcPr>
            <w:tcW w:w="1872" w:type="dxa"/>
            <w:shd w:val="clear" w:color="auto" w:fill="1B365D"/>
            <w:tcMar>
              <w:top w:w="120" w:type="dxa"/>
              <w:left w:w="150" w:type="dxa"/>
              <w:bottom w:w="120" w:type="dxa"/>
              <w:right w:w="150" w:type="dxa"/>
            </w:tcMar>
          </w:tcPr>
          <w:p w14:paraId="0A50C30C"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Odds Ratio</w:t>
            </w:r>
          </w:p>
        </w:tc>
        <w:tc>
          <w:tcPr>
            <w:tcW w:w="1872" w:type="dxa"/>
            <w:shd w:val="clear" w:color="auto" w:fill="1B365D"/>
            <w:tcMar>
              <w:top w:w="120" w:type="dxa"/>
              <w:left w:w="150" w:type="dxa"/>
              <w:bottom w:w="120" w:type="dxa"/>
              <w:right w:w="150" w:type="dxa"/>
            </w:tcMar>
          </w:tcPr>
          <w:p w14:paraId="57575C01"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c>
          <w:tcPr>
            <w:tcW w:w="1872" w:type="dxa"/>
            <w:shd w:val="clear" w:color="auto" w:fill="1B365D"/>
            <w:tcMar>
              <w:top w:w="120" w:type="dxa"/>
              <w:left w:w="150" w:type="dxa"/>
              <w:bottom w:w="120" w:type="dxa"/>
              <w:right w:w="150" w:type="dxa"/>
            </w:tcMar>
          </w:tcPr>
          <w:p w14:paraId="4D71787D"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Interpretation</w:t>
            </w:r>
          </w:p>
        </w:tc>
      </w:tr>
      <w:tr w:rsidR="00791B1B" w:rsidRPr="00791B1B" w14:paraId="38ACE123" w14:textId="77777777">
        <w:trPr>
          <w:jc w:val="center"/>
        </w:trPr>
        <w:tc>
          <w:tcPr>
            <w:tcW w:w="1872" w:type="dxa"/>
            <w:shd w:val="clear" w:color="auto" w:fill="FFFFFF"/>
            <w:tcMar>
              <w:top w:w="100" w:type="dxa"/>
              <w:left w:w="150" w:type="dxa"/>
              <w:bottom w:w="100" w:type="dxa"/>
              <w:right w:w="150" w:type="dxa"/>
            </w:tcMar>
          </w:tcPr>
          <w:p w14:paraId="44ACBBC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Piped water → Water shortage</w:t>
            </w:r>
          </w:p>
        </w:tc>
        <w:tc>
          <w:tcPr>
            <w:tcW w:w="1872" w:type="dxa"/>
            <w:shd w:val="clear" w:color="auto" w:fill="FFFFFF"/>
            <w:tcMar>
              <w:top w:w="100" w:type="dxa"/>
              <w:left w:w="150" w:type="dxa"/>
              <w:bottom w:w="100" w:type="dxa"/>
              <w:right w:w="150" w:type="dxa"/>
            </w:tcMar>
          </w:tcPr>
          <w:p w14:paraId="31AC59D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-0.601</w:t>
            </w:r>
          </w:p>
        </w:tc>
        <w:tc>
          <w:tcPr>
            <w:tcW w:w="1872" w:type="dxa"/>
            <w:shd w:val="clear" w:color="auto" w:fill="FFFFFF"/>
            <w:tcMar>
              <w:top w:w="100" w:type="dxa"/>
              <w:left w:w="150" w:type="dxa"/>
              <w:bottom w:w="100" w:type="dxa"/>
              <w:right w:w="150" w:type="dxa"/>
            </w:tcMar>
          </w:tcPr>
          <w:p w14:paraId="3C0089A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0.548</w:t>
            </w:r>
          </w:p>
        </w:tc>
        <w:tc>
          <w:tcPr>
            <w:tcW w:w="1872" w:type="dxa"/>
            <w:shd w:val="clear" w:color="auto" w:fill="FFFFFF"/>
            <w:tcMar>
              <w:top w:w="100" w:type="dxa"/>
              <w:left w:w="150" w:type="dxa"/>
              <w:bottom w:w="100" w:type="dxa"/>
              <w:right w:w="150" w:type="dxa"/>
            </w:tcMar>
          </w:tcPr>
          <w:p w14:paraId="7BAE2DC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c>
          <w:tcPr>
            <w:tcW w:w="1872" w:type="dxa"/>
            <w:shd w:val="clear" w:color="auto" w:fill="FFFFFF"/>
            <w:tcMar>
              <w:top w:w="100" w:type="dxa"/>
              <w:left w:w="150" w:type="dxa"/>
              <w:bottom w:w="100" w:type="dxa"/>
              <w:right w:w="150" w:type="dxa"/>
            </w:tcMar>
          </w:tcPr>
          <w:p w14:paraId="641FF2A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Strong reduction in severe water shortage</w:t>
            </w:r>
          </w:p>
        </w:tc>
      </w:tr>
      <w:tr w:rsidR="00791B1B" w:rsidRPr="00791B1B" w14:paraId="19411D97" w14:textId="77777777">
        <w:trPr>
          <w:jc w:val="center"/>
        </w:trPr>
        <w:tc>
          <w:tcPr>
            <w:tcW w:w="1872" w:type="dxa"/>
            <w:shd w:val="clear" w:color="auto" w:fill="F4F6F9"/>
            <w:tcMar>
              <w:top w:w="100" w:type="dxa"/>
              <w:left w:w="150" w:type="dxa"/>
              <w:bottom w:w="100" w:type="dxa"/>
              <w:right w:w="150" w:type="dxa"/>
            </w:tcMar>
          </w:tcPr>
          <w:p w14:paraId="5B45C7D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Health clinic → Medical shortage</w:t>
            </w:r>
          </w:p>
        </w:tc>
        <w:tc>
          <w:tcPr>
            <w:tcW w:w="1872" w:type="dxa"/>
            <w:shd w:val="clear" w:color="auto" w:fill="F4F6F9"/>
            <w:tcMar>
              <w:top w:w="100" w:type="dxa"/>
              <w:left w:w="150" w:type="dxa"/>
              <w:bottom w:w="100" w:type="dxa"/>
              <w:right w:w="150" w:type="dxa"/>
            </w:tcMar>
          </w:tcPr>
          <w:p w14:paraId="1F1071E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Negative</w:t>
            </w:r>
          </w:p>
        </w:tc>
        <w:tc>
          <w:tcPr>
            <w:tcW w:w="1872" w:type="dxa"/>
            <w:shd w:val="clear" w:color="auto" w:fill="F4F6F9"/>
            <w:tcMar>
              <w:top w:w="100" w:type="dxa"/>
              <w:left w:w="150" w:type="dxa"/>
              <w:bottom w:w="100" w:type="dxa"/>
              <w:right w:w="150" w:type="dxa"/>
            </w:tcMar>
          </w:tcPr>
          <w:p w14:paraId="54EF5D6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&lt;1</w:t>
            </w:r>
          </w:p>
        </w:tc>
        <w:tc>
          <w:tcPr>
            <w:tcW w:w="1872" w:type="dxa"/>
            <w:shd w:val="clear" w:color="auto" w:fill="F4F6F9"/>
            <w:tcMar>
              <w:top w:w="100" w:type="dxa"/>
              <w:left w:w="150" w:type="dxa"/>
              <w:bottom w:w="100" w:type="dxa"/>
              <w:right w:w="150" w:type="dxa"/>
            </w:tcMar>
          </w:tcPr>
          <w:p w14:paraId="7DDE024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&lt;0.05</w:t>
            </w:r>
          </w:p>
        </w:tc>
        <w:tc>
          <w:tcPr>
            <w:tcW w:w="1872" w:type="dxa"/>
            <w:shd w:val="clear" w:color="auto" w:fill="F4F6F9"/>
            <w:tcMar>
              <w:top w:w="100" w:type="dxa"/>
              <w:left w:w="150" w:type="dxa"/>
              <w:bottom w:w="100" w:type="dxa"/>
              <w:right w:w="150" w:type="dxa"/>
            </w:tcMar>
          </w:tcPr>
          <w:p w14:paraId="4909D51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Moderate protective association</w:t>
            </w:r>
          </w:p>
        </w:tc>
      </w:tr>
      <w:tr w:rsidR="00791B1B" w:rsidRPr="00791B1B" w14:paraId="33B8CA05" w14:textId="77777777">
        <w:trPr>
          <w:jc w:val="center"/>
        </w:trPr>
        <w:tc>
          <w:tcPr>
            <w:tcW w:w="1872" w:type="dxa"/>
            <w:shd w:val="clear" w:color="auto" w:fill="FFFFFF"/>
            <w:tcMar>
              <w:top w:w="100" w:type="dxa"/>
              <w:left w:w="150" w:type="dxa"/>
              <w:bottom w:w="100" w:type="dxa"/>
              <w:right w:w="150" w:type="dxa"/>
            </w:tcMar>
          </w:tcPr>
          <w:p w14:paraId="7218E6D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 grid → Fuel shortage</w:t>
            </w:r>
          </w:p>
        </w:tc>
        <w:tc>
          <w:tcPr>
            <w:tcW w:w="1872" w:type="dxa"/>
            <w:shd w:val="clear" w:color="auto" w:fill="FFFFFF"/>
            <w:tcMar>
              <w:top w:w="100" w:type="dxa"/>
              <w:left w:w="150" w:type="dxa"/>
              <w:bottom w:w="100" w:type="dxa"/>
              <w:right w:w="150" w:type="dxa"/>
            </w:tcMar>
          </w:tcPr>
          <w:p w14:paraId="405CE72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Negative</w:t>
            </w:r>
          </w:p>
        </w:tc>
        <w:tc>
          <w:tcPr>
            <w:tcW w:w="1872" w:type="dxa"/>
            <w:shd w:val="clear" w:color="auto" w:fill="FFFFFF"/>
            <w:tcMar>
              <w:top w:w="100" w:type="dxa"/>
              <w:left w:w="150" w:type="dxa"/>
              <w:bottom w:w="100" w:type="dxa"/>
              <w:right w:w="150" w:type="dxa"/>
            </w:tcMar>
          </w:tcPr>
          <w:p w14:paraId="471B9DC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&lt;1</w:t>
            </w:r>
          </w:p>
        </w:tc>
        <w:tc>
          <w:tcPr>
            <w:tcW w:w="1872" w:type="dxa"/>
            <w:shd w:val="clear" w:color="auto" w:fill="FFFFFF"/>
            <w:tcMar>
              <w:top w:w="100" w:type="dxa"/>
              <w:left w:w="150" w:type="dxa"/>
              <w:bottom w:w="100" w:type="dxa"/>
              <w:right w:w="150" w:type="dxa"/>
            </w:tcMar>
          </w:tcPr>
          <w:p w14:paraId="09819FE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&lt;0.05</w:t>
            </w:r>
          </w:p>
        </w:tc>
        <w:tc>
          <w:tcPr>
            <w:tcW w:w="1872" w:type="dxa"/>
            <w:shd w:val="clear" w:color="auto" w:fill="FFFFFF"/>
            <w:tcMar>
              <w:top w:w="100" w:type="dxa"/>
              <w:left w:w="150" w:type="dxa"/>
              <w:bottom w:w="100" w:type="dxa"/>
              <w:right w:w="150" w:type="dxa"/>
            </w:tcMar>
          </w:tcPr>
          <w:p w14:paraId="4CDF75D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Small protective association</w:t>
            </w:r>
          </w:p>
        </w:tc>
      </w:tr>
      <w:tr w:rsidR="00791B1B" w:rsidRPr="00791B1B" w14:paraId="40917325" w14:textId="77777777">
        <w:trPr>
          <w:jc w:val="center"/>
        </w:trPr>
        <w:tc>
          <w:tcPr>
            <w:tcW w:w="1872" w:type="dxa"/>
            <w:shd w:val="clear" w:color="auto" w:fill="F4F6F9"/>
            <w:tcMar>
              <w:top w:w="100" w:type="dxa"/>
              <w:left w:w="150" w:type="dxa"/>
              <w:bottom w:w="100" w:type="dxa"/>
              <w:right w:w="150" w:type="dxa"/>
            </w:tcMar>
          </w:tcPr>
          <w:p w14:paraId="532AE08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Money services → Cash shortage</w:t>
            </w:r>
          </w:p>
        </w:tc>
        <w:tc>
          <w:tcPr>
            <w:tcW w:w="1872" w:type="dxa"/>
            <w:shd w:val="clear" w:color="auto" w:fill="F4F6F9"/>
            <w:tcMar>
              <w:top w:w="100" w:type="dxa"/>
              <w:left w:w="150" w:type="dxa"/>
              <w:bottom w:w="100" w:type="dxa"/>
              <w:right w:w="150" w:type="dxa"/>
            </w:tcMar>
          </w:tcPr>
          <w:p w14:paraId="2EF49C8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Negative</w:t>
            </w:r>
          </w:p>
        </w:tc>
        <w:tc>
          <w:tcPr>
            <w:tcW w:w="1872" w:type="dxa"/>
            <w:shd w:val="clear" w:color="auto" w:fill="F4F6F9"/>
            <w:tcMar>
              <w:top w:w="100" w:type="dxa"/>
              <w:left w:w="150" w:type="dxa"/>
              <w:bottom w:w="100" w:type="dxa"/>
              <w:right w:w="150" w:type="dxa"/>
            </w:tcMar>
          </w:tcPr>
          <w:p w14:paraId="79256F5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&lt;1</w:t>
            </w:r>
          </w:p>
        </w:tc>
        <w:tc>
          <w:tcPr>
            <w:tcW w:w="1872" w:type="dxa"/>
            <w:shd w:val="clear" w:color="auto" w:fill="F4F6F9"/>
            <w:tcMar>
              <w:top w:w="100" w:type="dxa"/>
              <w:left w:w="150" w:type="dxa"/>
              <w:bottom w:w="100" w:type="dxa"/>
              <w:right w:w="150" w:type="dxa"/>
            </w:tcMar>
          </w:tcPr>
          <w:p w14:paraId="2C2DFC7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&lt;0.05</w:t>
            </w:r>
          </w:p>
        </w:tc>
        <w:tc>
          <w:tcPr>
            <w:tcW w:w="1872" w:type="dxa"/>
            <w:shd w:val="clear" w:color="auto" w:fill="F4F6F9"/>
            <w:tcMar>
              <w:top w:w="100" w:type="dxa"/>
              <w:left w:w="150" w:type="dxa"/>
              <w:bottom w:w="100" w:type="dxa"/>
              <w:right w:w="150" w:type="dxa"/>
            </w:tcMar>
          </w:tcPr>
          <w:p w14:paraId="7B3BCF6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Moderate protective association</w:t>
            </w:r>
          </w:p>
        </w:tc>
      </w:tr>
    </w:tbl>
    <w:p w14:paraId="26FB37A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results provide substantial support for the Service Visibility Hypothesis. Across all four models, the estimated coefficients are generally negative, indicating that the visible presence of public infrastructure is associated with lower probabilities of experiencing severe shortages. However, the magnitude of these associations differs considerably across service sectors, suggesting that some services play a more important preventive role than others.</w:t>
      </w:r>
    </w:p>
    <w:p w14:paraId="0E93842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Among the four services examined, piped water emerges as the strongest preventive intervention. The coefficient of −0.601 corresponds to an odds ratio of 0.548 (p &lt; 0.001), implying that communities with visible piped-water infrastructure experience approximately 45% lower odds of reporting severe water shortages than otherwise comparable communities. This represents the largest protective association observed among the service-presence models and highlights the </w:t>
      </w:r>
      <w:r w:rsidRPr="00791B1B">
        <w:rPr>
          <w:rFonts w:ascii="Times New Roman" w:hAnsi="Times New Roman" w:cs="Times New Roman"/>
          <w:color w:val="000000" w:themeColor="text1"/>
          <w:sz w:val="24"/>
          <w:szCs w:val="24"/>
        </w:rPr>
        <w:lastRenderedPageBreak/>
        <w:t>foundational role that reliable water infrastructure plays in reducing multidimensional deprivation.</w:t>
      </w:r>
    </w:p>
    <w:p w14:paraId="4C4258C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strength of piped water is consistent with both development theory and practical service delivery. Access to reliable water directly influences drinking water availability, sanitation, hygiene, food preparation, disease prevention, and household productivity. Improvements in water infrastructure therefore extend beyond the water sector itself and contribute to broader improvements in living conditions. The results indicate that water infrastructure functions primarily as a preventive public service, reducing the likelihood that severe deprivation emerges in the first place.</w:t>
      </w:r>
    </w:p>
    <w:p w14:paraId="2854F7D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Health clinics also demonstrate statistically significant protective associations, although their effects are more sector-specific. Communities with visible health facilities are less likely to report severe medical-care shortages, but the magnitude of the association is smaller than that observed for piped water. This finding suggests that healthcare infrastructure contributes primarily to improving access within the health sector rather than generating widespread spillover effects across multiple dimensions of deprivation.</w:t>
      </w:r>
    </w:p>
    <w:p w14:paraId="5EB44D9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Similarly, the presence of electricity grids and money-service facilities is associated with lower probabilities of severe fuel and cash shortages, respectively. While these coefficients remain statistically significant, they are comparatively smaller than those estimated for piped water. Electricity appears to function primarily as an enabling service that supports other forms of infrastructure, whereas financial-service points reduce severe cash shortages without completely eliminating financial exclusion. These weaker associations likely reflect the fact that visible infrastructure alone cannot overcome broader structural constraints such as household poverty, unemployment, or institutional inefficiencies.</w:t>
      </w:r>
    </w:p>
    <w:p w14:paraId="46108D7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Overall, the evidence strongly supports H1 by demonstrating that visible public services are generally associated with lower odds of severe shortages. Nevertheless, the models also reveal that visible infrastructure does not completely eliminate persistent deprivation. Significant numbers of respondents continue to report severe shortages despite the presence of observable public services. This finding suggests that infrastructure visibility is a necessary but insufficient condition for effective service delivery. Consequently, the analysis now turns to the central question of this study: why do severe shortages continue to occur even when public services are visibly present?</w:t>
      </w:r>
    </w:p>
    <w:p w14:paraId="040EF2C2" w14:textId="77777777" w:rsidR="00A333C3" w:rsidRPr="00091DB3" w:rsidRDefault="00000000">
      <w:pPr>
        <w:keepNext/>
        <w:spacing w:before="280" w:after="80"/>
        <w:rPr>
          <w:rFonts w:ascii="Times New Roman" w:hAnsi="Times New Roman" w:cs="Times New Roman"/>
          <w:color w:val="000000" w:themeColor="text1"/>
          <w:sz w:val="28"/>
          <w:szCs w:val="28"/>
        </w:rPr>
      </w:pPr>
      <w:r w:rsidRPr="00091DB3">
        <w:rPr>
          <w:rFonts w:ascii="Times New Roman" w:hAnsi="Times New Roman" w:cs="Times New Roman"/>
          <w:b/>
          <w:color w:val="000000" w:themeColor="text1"/>
          <w:sz w:val="28"/>
          <w:szCs w:val="28"/>
        </w:rPr>
        <w:t>5.2 Cash Access as the Primary Transmission Mechanism (H3)</w:t>
      </w:r>
    </w:p>
    <w:p w14:paraId="4C83B3A0"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3: Cash Bottleneck Hypothesis</w:t>
      </w:r>
    </w:p>
    <w:p w14:paraId="738ECEF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Hypothesis 3 states that communities experiencing a Cash Access Mismatch are expected to face higher probabilities of Health Clinic, Water, and Electricity/Fuel mismatches. Once severe service failure occurs, financial exclusion is expected to function as the principal transmission mechanism through which failures spread across the broader public-service system.</w:t>
      </w:r>
    </w:p>
    <w:p w14:paraId="48A71C1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lastRenderedPageBreak/>
        <w:t>To evaluate this hypothesis, three binary logistic regression models were estimated. Each model uses one service mismatch outcome as the dependent variable—Health Clinic Mismatch, Water Mismatch, or Electricity/Fuel Mismatch—while Cash Access Mismatch serves as the principal explanatory variable. Settlement type and country fixed effects were included to account for geographical and institutional differences across the sixteen countries in the study. The objective is to determine whether severe financial-service failure remains associated with failures in other public services after controlling for these contextual characteristics.</w:t>
      </w:r>
    </w:p>
    <w:p w14:paraId="4DEDA57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 representative model specification is presented below.</w:t>
      </w:r>
    </w:p>
    <w:p w14:paraId="30F119B9"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model_health_cash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health_mismatch ~</w:t>
      </w:r>
      <w:r w:rsidRPr="00791B1B">
        <w:rPr>
          <w:rFonts w:ascii="Times New Roman" w:hAnsi="Times New Roman" w:cs="Times New Roman"/>
          <w:color w:val="000000" w:themeColor="text1"/>
          <w:sz w:val="24"/>
          <w:szCs w:val="24"/>
        </w:rPr>
        <w:br/>
        <w:t xml:space="preserve">    cash_access_mismatch +</w:t>
      </w:r>
      <w:r w:rsidRPr="00791B1B">
        <w:rPr>
          <w:rFonts w:ascii="Times New Roman" w:hAnsi="Times New Roman" w:cs="Times New Roman"/>
          <w:color w:val="000000" w:themeColor="text1"/>
          <w:sz w:val="24"/>
          <w:szCs w:val="24"/>
        </w:rPr>
        <w:br/>
        <w:t xml:space="preserve">    location_type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 xml:space="preserve">  data = reg_data</w:t>
      </w:r>
      <w:r w:rsidRPr="00791B1B">
        <w:rPr>
          <w:rFonts w:ascii="Times New Roman" w:hAnsi="Times New Roman" w:cs="Times New Roman"/>
          <w:color w:val="000000" w:themeColor="text1"/>
          <w:sz w:val="24"/>
          <w:szCs w:val="24"/>
        </w:rPr>
        <w:br/>
        <w:t>)</w:t>
      </w:r>
    </w:p>
    <w:p w14:paraId="2C74AC1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estimated regression coefficients are presented in Table 5.1.</w:t>
      </w:r>
    </w:p>
    <w:p w14:paraId="12FADF0D"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t>Table 5.1. Cash Bottleneck Models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2340"/>
        <w:gridCol w:w="2340"/>
        <w:gridCol w:w="2340"/>
        <w:gridCol w:w="2340"/>
      </w:tblGrid>
      <w:tr w:rsidR="00791B1B" w:rsidRPr="00791B1B" w14:paraId="205DB9C3" w14:textId="77777777">
        <w:trPr>
          <w:jc w:val="center"/>
        </w:trPr>
        <w:tc>
          <w:tcPr>
            <w:tcW w:w="2340" w:type="dxa"/>
            <w:shd w:val="clear" w:color="auto" w:fill="1B365D"/>
            <w:tcMar>
              <w:top w:w="120" w:type="dxa"/>
              <w:left w:w="150" w:type="dxa"/>
              <w:bottom w:w="120" w:type="dxa"/>
              <w:right w:w="150" w:type="dxa"/>
            </w:tcMar>
          </w:tcPr>
          <w:p w14:paraId="3D4BB064"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Dependent variable</w:t>
            </w:r>
          </w:p>
        </w:tc>
        <w:tc>
          <w:tcPr>
            <w:tcW w:w="2340" w:type="dxa"/>
            <w:shd w:val="clear" w:color="auto" w:fill="1B365D"/>
            <w:tcMar>
              <w:top w:w="120" w:type="dxa"/>
              <w:left w:w="150" w:type="dxa"/>
              <w:bottom w:w="120" w:type="dxa"/>
              <w:right w:w="150" w:type="dxa"/>
            </w:tcMar>
          </w:tcPr>
          <w:p w14:paraId="1BBACEC9"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Coefficient (β)</w:t>
            </w:r>
          </w:p>
        </w:tc>
        <w:tc>
          <w:tcPr>
            <w:tcW w:w="2340" w:type="dxa"/>
            <w:shd w:val="clear" w:color="auto" w:fill="1B365D"/>
            <w:tcMar>
              <w:top w:w="120" w:type="dxa"/>
              <w:left w:w="150" w:type="dxa"/>
              <w:bottom w:w="120" w:type="dxa"/>
              <w:right w:w="150" w:type="dxa"/>
            </w:tcMar>
          </w:tcPr>
          <w:p w14:paraId="689BC26B"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Odds Ratio</w:t>
            </w:r>
          </w:p>
        </w:tc>
        <w:tc>
          <w:tcPr>
            <w:tcW w:w="2340" w:type="dxa"/>
            <w:shd w:val="clear" w:color="auto" w:fill="1B365D"/>
            <w:tcMar>
              <w:top w:w="120" w:type="dxa"/>
              <w:left w:w="150" w:type="dxa"/>
              <w:bottom w:w="120" w:type="dxa"/>
              <w:right w:w="150" w:type="dxa"/>
            </w:tcMar>
          </w:tcPr>
          <w:p w14:paraId="3A7E7510"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r>
      <w:tr w:rsidR="00791B1B" w:rsidRPr="00791B1B" w14:paraId="0163E839" w14:textId="77777777">
        <w:trPr>
          <w:jc w:val="center"/>
        </w:trPr>
        <w:tc>
          <w:tcPr>
            <w:tcW w:w="2340" w:type="dxa"/>
            <w:shd w:val="clear" w:color="auto" w:fill="FFFFFF"/>
            <w:tcMar>
              <w:top w:w="100" w:type="dxa"/>
              <w:left w:w="150" w:type="dxa"/>
              <w:bottom w:w="100" w:type="dxa"/>
              <w:right w:w="150" w:type="dxa"/>
            </w:tcMar>
          </w:tcPr>
          <w:p w14:paraId="46AC243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Health Clinic Mismatch</w:t>
            </w:r>
          </w:p>
        </w:tc>
        <w:tc>
          <w:tcPr>
            <w:tcW w:w="2340" w:type="dxa"/>
            <w:shd w:val="clear" w:color="auto" w:fill="FFFFFF"/>
            <w:tcMar>
              <w:top w:w="100" w:type="dxa"/>
              <w:left w:w="150" w:type="dxa"/>
              <w:bottom w:w="100" w:type="dxa"/>
              <w:right w:w="150" w:type="dxa"/>
            </w:tcMar>
          </w:tcPr>
          <w:p w14:paraId="54F70D0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1.662</w:t>
            </w:r>
          </w:p>
        </w:tc>
        <w:tc>
          <w:tcPr>
            <w:tcW w:w="2340" w:type="dxa"/>
            <w:shd w:val="clear" w:color="auto" w:fill="FFFFFF"/>
            <w:tcMar>
              <w:top w:w="100" w:type="dxa"/>
              <w:left w:w="150" w:type="dxa"/>
              <w:bottom w:w="100" w:type="dxa"/>
              <w:right w:w="150" w:type="dxa"/>
            </w:tcMar>
          </w:tcPr>
          <w:p w14:paraId="24BCA43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5.27</w:t>
            </w:r>
          </w:p>
        </w:tc>
        <w:tc>
          <w:tcPr>
            <w:tcW w:w="2340" w:type="dxa"/>
            <w:shd w:val="clear" w:color="auto" w:fill="FFFFFF"/>
            <w:tcMar>
              <w:top w:w="100" w:type="dxa"/>
              <w:left w:w="150" w:type="dxa"/>
              <w:bottom w:w="100" w:type="dxa"/>
              <w:right w:w="150" w:type="dxa"/>
            </w:tcMar>
          </w:tcPr>
          <w:p w14:paraId="73F4621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324739AB" w14:textId="77777777">
        <w:trPr>
          <w:jc w:val="center"/>
        </w:trPr>
        <w:tc>
          <w:tcPr>
            <w:tcW w:w="2340" w:type="dxa"/>
            <w:shd w:val="clear" w:color="auto" w:fill="F4F6F9"/>
            <w:tcMar>
              <w:top w:w="100" w:type="dxa"/>
              <w:left w:w="150" w:type="dxa"/>
              <w:bottom w:w="100" w:type="dxa"/>
              <w:right w:w="150" w:type="dxa"/>
            </w:tcMar>
          </w:tcPr>
          <w:p w14:paraId="70D07A7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Water Mismatch</w:t>
            </w:r>
          </w:p>
        </w:tc>
        <w:tc>
          <w:tcPr>
            <w:tcW w:w="2340" w:type="dxa"/>
            <w:shd w:val="clear" w:color="auto" w:fill="F4F6F9"/>
            <w:tcMar>
              <w:top w:w="100" w:type="dxa"/>
              <w:left w:w="150" w:type="dxa"/>
              <w:bottom w:w="100" w:type="dxa"/>
              <w:right w:w="150" w:type="dxa"/>
            </w:tcMar>
          </w:tcPr>
          <w:p w14:paraId="08F81EE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1.788</w:t>
            </w:r>
          </w:p>
        </w:tc>
        <w:tc>
          <w:tcPr>
            <w:tcW w:w="2340" w:type="dxa"/>
            <w:shd w:val="clear" w:color="auto" w:fill="F4F6F9"/>
            <w:tcMar>
              <w:top w:w="100" w:type="dxa"/>
              <w:left w:w="150" w:type="dxa"/>
              <w:bottom w:w="100" w:type="dxa"/>
              <w:right w:w="150" w:type="dxa"/>
            </w:tcMar>
          </w:tcPr>
          <w:p w14:paraId="31C71F5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5.98</w:t>
            </w:r>
          </w:p>
        </w:tc>
        <w:tc>
          <w:tcPr>
            <w:tcW w:w="2340" w:type="dxa"/>
            <w:shd w:val="clear" w:color="auto" w:fill="F4F6F9"/>
            <w:tcMar>
              <w:top w:w="100" w:type="dxa"/>
              <w:left w:w="150" w:type="dxa"/>
              <w:bottom w:w="100" w:type="dxa"/>
              <w:right w:w="150" w:type="dxa"/>
            </w:tcMar>
          </w:tcPr>
          <w:p w14:paraId="3F0B5EF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2DA49783" w14:textId="77777777">
        <w:trPr>
          <w:jc w:val="center"/>
        </w:trPr>
        <w:tc>
          <w:tcPr>
            <w:tcW w:w="2340" w:type="dxa"/>
            <w:shd w:val="clear" w:color="auto" w:fill="FFFFFF"/>
            <w:tcMar>
              <w:top w:w="100" w:type="dxa"/>
              <w:left w:w="150" w:type="dxa"/>
              <w:bottom w:w="100" w:type="dxa"/>
              <w:right w:w="150" w:type="dxa"/>
            </w:tcMar>
          </w:tcPr>
          <w:p w14:paraId="717C2C5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Electricity/Fuel Mismatch</w:t>
            </w:r>
          </w:p>
        </w:tc>
        <w:tc>
          <w:tcPr>
            <w:tcW w:w="2340" w:type="dxa"/>
            <w:shd w:val="clear" w:color="auto" w:fill="FFFFFF"/>
            <w:tcMar>
              <w:top w:w="100" w:type="dxa"/>
              <w:left w:w="150" w:type="dxa"/>
              <w:bottom w:w="100" w:type="dxa"/>
              <w:right w:w="150" w:type="dxa"/>
            </w:tcMar>
          </w:tcPr>
          <w:p w14:paraId="43BDC99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2.548</w:t>
            </w:r>
          </w:p>
        </w:tc>
        <w:tc>
          <w:tcPr>
            <w:tcW w:w="2340" w:type="dxa"/>
            <w:shd w:val="clear" w:color="auto" w:fill="FFFFFF"/>
            <w:tcMar>
              <w:top w:w="100" w:type="dxa"/>
              <w:left w:w="150" w:type="dxa"/>
              <w:bottom w:w="100" w:type="dxa"/>
              <w:right w:w="150" w:type="dxa"/>
            </w:tcMar>
          </w:tcPr>
          <w:p w14:paraId="62EA8FE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12.80</w:t>
            </w:r>
          </w:p>
        </w:tc>
        <w:tc>
          <w:tcPr>
            <w:tcW w:w="2340" w:type="dxa"/>
            <w:shd w:val="clear" w:color="auto" w:fill="FFFFFF"/>
            <w:tcMar>
              <w:top w:w="100" w:type="dxa"/>
              <w:left w:w="150" w:type="dxa"/>
              <w:bottom w:w="100" w:type="dxa"/>
              <w:right w:w="150" w:type="dxa"/>
            </w:tcMar>
          </w:tcPr>
          <w:p w14:paraId="5BA03F2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bl>
    <w:p w14:paraId="1E55413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provide strong empirical support for the Cash Bottleneck Hypothesis. Across all three models, Cash Access Mismatch exhibits positive and highly statistically significant coefficients, indicating that persistent financial-service failure substantially increases the likelihood of severe failures in other public-service sectors. The consistency of these findings across multiple dependent variables suggests that financial exclusion rarely remains confined to the financial sector. Instead, it acts as a mechanism through which service failures spread throughout the broader public-service system.</w:t>
      </w:r>
    </w:p>
    <w:p w14:paraId="47B4103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The magnitude of these associations is considerable. Communities experiencing a Cash Access Mismatch have 5.27 times higher odds of simultaneously experiencing a Health Clinic Mismatch than communities without severe financial-service failure (β = 1.662, p &lt; 0.001). Similarly, the </w:t>
      </w:r>
      <w:r w:rsidRPr="00791B1B">
        <w:rPr>
          <w:rFonts w:ascii="Times New Roman" w:hAnsi="Times New Roman" w:cs="Times New Roman"/>
          <w:color w:val="000000" w:themeColor="text1"/>
          <w:sz w:val="24"/>
          <w:szCs w:val="24"/>
        </w:rPr>
        <w:lastRenderedPageBreak/>
        <w:t>odds of experiencing a Water Mismatch increase almost six-fold (OR = 5.98, β = 1.788, p &lt; 0.001). The strongest relationship is observed for Electricity/Fuel Mismatch, where communities experiencing severe cash-access failure have 12.80 times higher odds of reporting persistent electricity or cooking-fuel failure than comparable communities without financial-service failure (β = 2.548, p &lt; 0.001).</w:t>
      </w:r>
    </w:p>
    <w:p w14:paraId="61DF902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Among the three regression models, the Electricity/Fuel model produces the largest estimated effect. An odds ratio of 12.80 represents an exceptionally strong statistical association, indicating that financial exclusion is closely linked to severe energy insecurity. This relationship is theoretically plausible because access to electricity and cooking fuel frequently depends upon households' ability to make regular financial payments. Even where electricity infrastructure is physically available, persistent financial constraints may prevent households from maintaining service connections or purchasing alternative energy sources, resulting in continued deprivation despite visible infrastructure.</w:t>
      </w:r>
    </w:p>
    <w:p w14:paraId="58AB325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strong associations observed across all three models suggest that financial access occupies a structurally different position within the public-service system than most other services. Whereas infrastructure such as piped water primarily functions as a preventive intervention that reduces the probability of severe shortages, financial access appears to operate as a transmission mechanism once service failure has already emerged. In other words, the results indicate that cash-related deprivation does not merely coexist with failures in healthcare, water, and electricity systems; rather, it is strongly associated with the propagation of severe service failures across these interconnected sectors.</w:t>
      </w:r>
    </w:p>
    <w:p w14:paraId="3AB80B1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These findings have important policy implications. Conventional infrastructure investment strategies frequently address water, healthcare, electricity, and financial services as separate sectors. However, the present results suggest that interventions designed to improve financial inclusion may produce benefits extending beyond the financial sector itself. Policies that strengthen household purchasing power, expand affordable banking services, improve access to mobile money, or reduce barriers to formal financial participation may simultaneously reduce the probability of cascading failures across multiple public-service systems. Consequently, financial inclusion should be viewed not only as an economic objective but also as a critical component of resilient public-service delivery.</w:t>
      </w:r>
    </w:p>
    <w:p w14:paraId="418DCA5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Overall, the regression evidence provides strong support for Hypothesis 3. Cash Access Mismatch consistently predicts severe failures in healthcare, water, and electricity services, identifying financial exclusion as the primary transmission node within the Public Service Visibility Paradox. Having established the initial pathway through which failures spread, the analysis next examines whether healthcare itself becomes a secondary transmission mechanism linking failures across the broader service-delivery system.</w:t>
      </w:r>
    </w:p>
    <w:p w14:paraId="77976D46" w14:textId="77777777" w:rsidR="00A333C3" w:rsidRPr="00091DB3" w:rsidRDefault="00000000">
      <w:pPr>
        <w:keepNext/>
        <w:spacing w:before="280" w:after="80"/>
        <w:rPr>
          <w:rFonts w:ascii="Times New Roman" w:hAnsi="Times New Roman" w:cs="Times New Roman"/>
          <w:color w:val="000000" w:themeColor="text1"/>
          <w:sz w:val="28"/>
          <w:szCs w:val="28"/>
        </w:rPr>
      </w:pPr>
      <w:r w:rsidRPr="00091DB3">
        <w:rPr>
          <w:rFonts w:ascii="Times New Roman" w:hAnsi="Times New Roman" w:cs="Times New Roman"/>
          <w:b/>
          <w:color w:val="000000" w:themeColor="text1"/>
          <w:sz w:val="28"/>
          <w:szCs w:val="28"/>
        </w:rPr>
        <w:lastRenderedPageBreak/>
        <w:t>5.3 Health Clinics as a Secondary Transmission Node (H4)</w:t>
      </w:r>
    </w:p>
    <w:p w14:paraId="07480D32"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4: Health Transmission Hypothesis</w:t>
      </w:r>
    </w:p>
    <w:p w14:paraId="722EE6E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Hypothesis 4 states that Health Clinic Mismatch is associated with failures in other sectors, especially Cash Access, Water, and Electricity/Fuel systems. Healthcare is treated as a secondary transmission node within the wider public-service system.</w:t>
      </w:r>
    </w:p>
    <w:p w14:paraId="0C5CADB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After identifying Cash Access Mismatch as the primary transmission mechanism, the next step is to examine whether service failure continues to spread through the health sector. Health clinics occupy a central position in local service systems because effective healthcare depends on several supporting conditions, including household income, transport access, water, electricity, medicines, staffing, and institutional capacity. Therefore, when a visible health clinic fails to prevent severe medical-care deprivation, that failure may reflect broader weaknesses in the local service environment.</w:t>
      </w:r>
    </w:p>
    <w:p w14:paraId="5A812D1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To test this hypothesis, three logistic regression models were estimated. Each model uses Health Clinic Mismatch as the main predictor and examines whether it is associated with Cash Access, Water, and Electricity/Fuel mismatches.</w:t>
      </w:r>
    </w:p>
    <w:p w14:paraId="28AC46AB"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model_health_to_water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water_mismatch ~</w:t>
      </w:r>
      <w:r w:rsidRPr="00791B1B">
        <w:rPr>
          <w:rFonts w:ascii="Times New Roman" w:hAnsi="Times New Roman" w:cs="Times New Roman"/>
          <w:color w:val="000000" w:themeColor="text1"/>
          <w:sz w:val="24"/>
          <w:szCs w:val="24"/>
        </w:rPr>
        <w:br/>
        <w:t xml:space="preserve">    health_mismatch +</w:t>
      </w:r>
      <w:r w:rsidRPr="00791B1B">
        <w:rPr>
          <w:rFonts w:ascii="Times New Roman" w:hAnsi="Times New Roman" w:cs="Times New Roman"/>
          <w:color w:val="000000" w:themeColor="text1"/>
          <w:sz w:val="24"/>
          <w:szCs w:val="24"/>
        </w:rPr>
        <w:br/>
        <w:t xml:space="preserve">    location_type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 xml:space="preserve">  data = reg_data</w:t>
      </w:r>
      <w:r w:rsidRPr="00791B1B">
        <w:rPr>
          <w:rFonts w:ascii="Times New Roman" w:hAnsi="Times New Roman" w:cs="Times New Roman"/>
          <w:color w:val="000000" w:themeColor="text1"/>
          <w:sz w:val="24"/>
          <w:szCs w:val="24"/>
        </w:rPr>
        <w:br/>
        <w:t>)</w:t>
      </w:r>
    </w:p>
    <w:p w14:paraId="741FCA2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estimated regression coefficients are presented in Table 5.2.</w:t>
      </w:r>
    </w:p>
    <w:p w14:paraId="029A8D84"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t>Table 5.2. Health Transmission Models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2340"/>
        <w:gridCol w:w="2340"/>
        <w:gridCol w:w="2340"/>
        <w:gridCol w:w="2340"/>
      </w:tblGrid>
      <w:tr w:rsidR="00791B1B" w:rsidRPr="00791B1B" w14:paraId="4CAB381F" w14:textId="77777777">
        <w:trPr>
          <w:jc w:val="center"/>
        </w:trPr>
        <w:tc>
          <w:tcPr>
            <w:tcW w:w="2340" w:type="dxa"/>
            <w:shd w:val="clear" w:color="auto" w:fill="1B365D"/>
            <w:tcMar>
              <w:top w:w="120" w:type="dxa"/>
              <w:left w:w="150" w:type="dxa"/>
              <w:bottom w:w="120" w:type="dxa"/>
              <w:right w:w="150" w:type="dxa"/>
            </w:tcMar>
          </w:tcPr>
          <w:p w14:paraId="7E33AA89"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Dependent variable</w:t>
            </w:r>
          </w:p>
        </w:tc>
        <w:tc>
          <w:tcPr>
            <w:tcW w:w="2340" w:type="dxa"/>
            <w:shd w:val="clear" w:color="auto" w:fill="1B365D"/>
            <w:tcMar>
              <w:top w:w="120" w:type="dxa"/>
              <w:left w:w="150" w:type="dxa"/>
              <w:bottom w:w="120" w:type="dxa"/>
              <w:right w:w="150" w:type="dxa"/>
            </w:tcMar>
          </w:tcPr>
          <w:p w14:paraId="1F2242B5"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Coefficient (β)</w:t>
            </w:r>
          </w:p>
        </w:tc>
        <w:tc>
          <w:tcPr>
            <w:tcW w:w="2340" w:type="dxa"/>
            <w:shd w:val="clear" w:color="auto" w:fill="1B365D"/>
            <w:tcMar>
              <w:top w:w="120" w:type="dxa"/>
              <w:left w:w="150" w:type="dxa"/>
              <w:bottom w:w="120" w:type="dxa"/>
              <w:right w:w="150" w:type="dxa"/>
            </w:tcMar>
          </w:tcPr>
          <w:p w14:paraId="0065EAC1"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Odds Ratio</w:t>
            </w:r>
          </w:p>
        </w:tc>
        <w:tc>
          <w:tcPr>
            <w:tcW w:w="2340" w:type="dxa"/>
            <w:shd w:val="clear" w:color="auto" w:fill="1B365D"/>
            <w:tcMar>
              <w:top w:w="120" w:type="dxa"/>
              <w:left w:w="150" w:type="dxa"/>
              <w:bottom w:w="120" w:type="dxa"/>
              <w:right w:w="150" w:type="dxa"/>
            </w:tcMar>
          </w:tcPr>
          <w:p w14:paraId="60EBAF26"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r>
      <w:tr w:rsidR="00791B1B" w:rsidRPr="00791B1B" w14:paraId="5BE0E2CB" w14:textId="77777777">
        <w:trPr>
          <w:jc w:val="center"/>
        </w:trPr>
        <w:tc>
          <w:tcPr>
            <w:tcW w:w="2340" w:type="dxa"/>
            <w:shd w:val="clear" w:color="auto" w:fill="FFFFFF"/>
            <w:tcMar>
              <w:top w:w="100" w:type="dxa"/>
              <w:left w:w="150" w:type="dxa"/>
              <w:bottom w:w="100" w:type="dxa"/>
              <w:right w:w="150" w:type="dxa"/>
            </w:tcMar>
          </w:tcPr>
          <w:p w14:paraId="5F94D40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Access Mismatch</w:t>
            </w:r>
          </w:p>
        </w:tc>
        <w:tc>
          <w:tcPr>
            <w:tcW w:w="2340" w:type="dxa"/>
            <w:shd w:val="clear" w:color="auto" w:fill="FFFFFF"/>
            <w:tcMar>
              <w:top w:w="100" w:type="dxa"/>
              <w:left w:w="150" w:type="dxa"/>
              <w:bottom w:w="100" w:type="dxa"/>
              <w:right w:w="150" w:type="dxa"/>
            </w:tcMar>
          </w:tcPr>
          <w:p w14:paraId="6B96F76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1.662</w:t>
            </w:r>
          </w:p>
        </w:tc>
        <w:tc>
          <w:tcPr>
            <w:tcW w:w="2340" w:type="dxa"/>
            <w:shd w:val="clear" w:color="auto" w:fill="FFFFFF"/>
            <w:tcMar>
              <w:top w:w="100" w:type="dxa"/>
              <w:left w:w="150" w:type="dxa"/>
              <w:bottom w:w="100" w:type="dxa"/>
              <w:right w:w="150" w:type="dxa"/>
            </w:tcMar>
          </w:tcPr>
          <w:p w14:paraId="199EACC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5.27</w:t>
            </w:r>
          </w:p>
        </w:tc>
        <w:tc>
          <w:tcPr>
            <w:tcW w:w="2340" w:type="dxa"/>
            <w:shd w:val="clear" w:color="auto" w:fill="FFFFFF"/>
            <w:tcMar>
              <w:top w:w="100" w:type="dxa"/>
              <w:left w:w="150" w:type="dxa"/>
              <w:bottom w:w="100" w:type="dxa"/>
              <w:right w:w="150" w:type="dxa"/>
            </w:tcMar>
          </w:tcPr>
          <w:p w14:paraId="7756E6C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642EBB9E" w14:textId="77777777">
        <w:trPr>
          <w:jc w:val="center"/>
        </w:trPr>
        <w:tc>
          <w:tcPr>
            <w:tcW w:w="2340" w:type="dxa"/>
            <w:shd w:val="clear" w:color="auto" w:fill="F4F6F9"/>
            <w:tcMar>
              <w:top w:w="100" w:type="dxa"/>
              <w:left w:w="150" w:type="dxa"/>
              <w:bottom w:w="100" w:type="dxa"/>
              <w:right w:w="150" w:type="dxa"/>
            </w:tcMar>
          </w:tcPr>
          <w:p w14:paraId="5D69790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Water Mismatch</w:t>
            </w:r>
          </w:p>
        </w:tc>
        <w:tc>
          <w:tcPr>
            <w:tcW w:w="2340" w:type="dxa"/>
            <w:shd w:val="clear" w:color="auto" w:fill="F4F6F9"/>
            <w:tcMar>
              <w:top w:w="100" w:type="dxa"/>
              <w:left w:w="150" w:type="dxa"/>
              <w:bottom w:w="100" w:type="dxa"/>
              <w:right w:w="150" w:type="dxa"/>
            </w:tcMar>
          </w:tcPr>
          <w:p w14:paraId="3256233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2.593</w:t>
            </w:r>
          </w:p>
        </w:tc>
        <w:tc>
          <w:tcPr>
            <w:tcW w:w="2340" w:type="dxa"/>
            <w:shd w:val="clear" w:color="auto" w:fill="F4F6F9"/>
            <w:tcMar>
              <w:top w:w="100" w:type="dxa"/>
              <w:left w:w="150" w:type="dxa"/>
              <w:bottom w:w="100" w:type="dxa"/>
              <w:right w:w="150" w:type="dxa"/>
            </w:tcMar>
          </w:tcPr>
          <w:p w14:paraId="2D90FA7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13.40</w:t>
            </w:r>
          </w:p>
        </w:tc>
        <w:tc>
          <w:tcPr>
            <w:tcW w:w="2340" w:type="dxa"/>
            <w:shd w:val="clear" w:color="auto" w:fill="F4F6F9"/>
            <w:tcMar>
              <w:top w:w="100" w:type="dxa"/>
              <w:left w:w="150" w:type="dxa"/>
              <w:bottom w:w="100" w:type="dxa"/>
              <w:right w:w="150" w:type="dxa"/>
            </w:tcMar>
          </w:tcPr>
          <w:p w14:paraId="2DE5CE7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1B770C73" w14:textId="77777777">
        <w:trPr>
          <w:jc w:val="center"/>
        </w:trPr>
        <w:tc>
          <w:tcPr>
            <w:tcW w:w="2340" w:type="dxa"/>
            <w:shd w:val="clear" w:color="auto" w:fill="FFFFFF"/>
            <w:tcMar>
              <w:top w:w="100" w:type="dxa"/>
              <w:left w:w="150" w:type="dxa"/>
              <w:bottom w:w="100" w:type="dxa"/>
              <w:right w:w="150" w:type="dxa"/>
            </w:tcMar>
          </w:tcPr>
          <w:p w14:paraId="6FE0770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Electricity/Fuel Mismatch</w:t>
            </w:r>
          </w:p>
        </w:tc>
        <w:tc>
          <w:tcPr>
            <w:tcW w:w="2340" w:type="dxa"/>
            <w:shd w:val="clear" w:color="auto" w:fill="FFFFFF"/>
            <w:tcMar>
              <w:top w:w="100" w:type="dxa"/>
              <w:left w:w="150" w:type="dxa"/>
              <w:bottom w:w="100" w:type="dxa"/>
              <w:right w:w="150" w:type="dxa"/>
            </w:tcMar>
          </w:tcPr>
          <w:p w14:paraId="1144726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2.862</w:t>
            </w:r>
          </w:p>
        </w:tc>
        <w:tc>
          <w:tcPr>
            <w:tcW w:w="2340" w:type="dxa"/>
            <w:shd w:val="clear" w:color="auto" w:fill="FFFFFF"/>
            <w:tcMar>
              <w:top w:w="100" w:type="dxa"/>
              <w:left w:w="150" w:type="dxa"/>
              <w:bottom w:w="100" w:type="dxa"/>
              <w:right w:w="150" w:type="dxa"/>
            </w:tcMar>
          </w:tcPr>
          <w:p w14:paraId="09E5F8A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17.50</w:t>
            </w:r>
          </w:p>
        </w:tc>
        <w:tc>
          <w:tcPr>
            <w:tcW w:w="2340" w:type="dxa"/>
            <w:shd w:val="clear" w:color="auto" w:fill="FFFFFF"/>
            <w:tcMar>
              <w:top w:w="100" w:type="dxa"/>
              <w:left w:w="150" w:type="dxa"/>
              <w:bottom w:w="100" w:type="dxa"/>
              <w:right w:w="150" w:type="dxa"/>
            </w:tcMar>
          </w:tcPr>
          <w:p w14:paraId="568084E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bl>
    <w:p w14:paraId="412567A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The results provide strong support for the Health Transmission Hypothesis. Health Clinic Mismatch is positively and significantly associated with all three additional mismatch outcomes. </w:t>
      </w:r>
      <w:r w:rsidRPr="00791B1B">
        <w:rPr>
          <w:rFonts w:ascii="Times New Roman" w:hAnsi="Times New Roman" w:cs="Times New Roman"/>
          <w:color w:val="000000" w:themeColor="text1"/>
          <w:sz w:val="24"/>
          <w:szCs w:val="24"/>
        </w:rPr>
        <w:lastRenderedPageBreak/>
        <w:t>Communities experiencing severe healthcare mismatch have 5.27 times higher odds of also experiencing Cash Access Mismatch, 13.40 times higher odds of experiencing Water Mismatch, and 17.50 times higher odds of experiencing Electricity/Fuel Mismatch.</w:t>
      </w:r>
    </w:p>
    <w:p w14:paraId="53063D4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strongest association appears between Health Clinic Mismatch and Electricity/Fuel Mismatch. This is substantively important because healthcare delivery depends heavily on reliable energy systems. Clinics require electricity for lighting, refrigeration of medicines and vaccines, diagnostic equipment, communications, and basic facility operations. Therefore, when a community experiences severe health-service failure despite visible clinic infrastructure, it is plausible that energy-system weakness is also present.</w:t>
      </w:r>
    </w:p>
    <w:p w14:paraId="3169647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relationship between Health Clinic Mismatch and Water Mismatch is also very strong. An odds ratio of 13.40 suggests that communities with persistent medical-care failure are far more likely to experience severe water-service failure as well. This finding reinforces the idea that healthcare and water systems are deeply connected. Clinics require water for sanitation, hygiene, infection control, cleaning, and patient care. At the household level, water insecurity also increases disease risk, which can intensify demand for already weak health services.</w:t>
      </w:r>
    </w:p>
    <w:p w14:paraId="334038B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These results show that health-service failure should not be interpreted narrowly as a problem of clinic location alone. A clinic may be physically present, but service delivery can fail if medicines are unavailable, staff are absent, water is unreliable, electricity is interrupted, or households cannot afford the indirect costs of care. Health Clinic Mismatch therefore acts as a signal of wider local service fragility.</w:t>
      </w:r>
    </w:p>
    <w:p w14:paraId="41CCBE9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findings also clarify the difference between the Cash Bottleneck and Health Transmission mechanisms. Cash Access Mismatch appears to be the primary transmission node because financial constraints affect households' ability to use many other services. Health Clinic Mismatch, by contrast, functions as a secondary transmission node: it reflects the breakdown of a service that depends on multiple other systems and, once failing, is strongly associated with broader service collapse.</w:t>
      </w:r>
    </w:p>
    <w:p w14:paraId="66B969B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Overall, Hypothesis 4 is strongly supported. Health Clinic Mismatch is not an isolated outcome. It is closely linked to financial, water, and electricity/fuel mismatches, suggesting that healthcare failure is one of the clearest indicators of wider public-service fragility.</w:t>
      </w:r>
    </w:p>
    <w:p w14:paraId="7219AC21" w14:textId="77777777" w:rsidR="00A333C3" w:rsidRPr="00091DB3" w:rsidRDefault="00000000">
      <w:pPr>
        <w:keepNext/>
        <w:spacing w:before="280" w:after="80"/>
        <w:rPr>
          <w:rFonts w:ascii="Times New Roman" w:hAnsi="Times New Roman" w:cs="Times New Roman"/>
          <w:color w:val="000000" w:themeColor="text1"/>
          <w:sz w:val="28"/>
          <w:szCs w:val="28"/>
        </w:rPr>
      </w:pPr>
      <w:r w:rsidRPr="00091DB3">
        <w:rPr>
          <w:rFonts w:ascii="Times New Roman" w:hAnsi="Times New Roman" w:cs="Times New Roman"/>
          <w:b/>
          <w:color w:val="000000" w:themeColor="text1"/>
          <w:sz w:val="28"/>
          <w:szCs w:val="28"/>
        </w:rPr>
        <w:t>5.4 Compounding Service Failures: The Double Whammy Hypothesis (H5)</w:t>
      </w:r>
    </w:p>
    <w:p w14:paraId="5DED6A98"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5: Double Whammy Hypothesis</w:t>
      </w:r>
    </w:p>
    <w:p w14:paraId="781F25C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Hypothesis 5 proposes that communities simultaneously experiencing Cash Access Mismatch and Health Clinic Mismatch face substantially greater risks of Water and Electricity/Fuel mismatches than communities experiencing only one of these service failures. Rather than acting independently, financial and healthcare failures are expected to reinforce one another, creating compounding effects within the public-service system.</w:t>
      </w:r>
    </w:p>
    <w:p w14:paraId="5DF8437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lastRenderedPageBreak/>
        <w:t>The previous analyses identified Cash Access Mismatch as the primary transmission mechanism and Health Clinic Mismatch as a secondary transmission node. However, these models examined each pathway separately. Public-service failures rarely occur in isolation. Communities experiencing persistent financial exclusion frequently face simultaneous deficiencies in healthcare, infrastructure, and governance. Consequently, the Double Whammy models examine whether Cash Access Mismatch and Health Clinic Mismatch remain significant predictors when estimated together within the same regression model.</w:t>
      </w:r>
    </w:p>
    <w:p w14:paraId="18410AD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Two logistic regression models were estimated. The first predicts Water Mismatch, while the second predicts Electricity/Fuel Mismatch. Both models include Cash Access Mismatch and Health Clinic Mismatch simultaneously, together with settlement type and country controls.</w:t>
      </w:r>
    </w:p>
    <w:p w14:paraId="124AA9F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 representative model specification is shown below.</w:t>
      </w:r>
    </w:p>
    <w:p w14:paraId="55661402"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model_double_water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water_mismatch ~</w:t>
      </w:r>
      <w:r w:rsidRPr="00791B1B">
        <w:rPr>
          <w:rFonts w:ascii="Times New Roman" w:hAnsi="Times New Roman" w:cs="Times New Roman"/>
          <w:color w:val="000000" w:themeColor="text1"/>
          <w:sz w:val="24"/>
          <w:szCs w:val="24"/>
        </w:rPr>
        <w:br/>
        <w:t xml:space="preserve">    cash_access_mismatch +</w:t>
      </w:r>
      <w:r w:rsidRPr="00791B1B">
        <w:rPr>
          <w:rFonts w:ascii="Times New Roman" w:hAnsi="Times New Roman" w:cs="Times New Roman"/>
          <w:color w:val="000000" w:themeColor="text1"/>
          <w:sz w:val="24"/>
          <w:szCs w:val="24"/>
        </w:rPr>
        <w:br/>
        <w:t xml:space="preserve">    health_mismatch +</w:t>
      </w:r>
      <w:r w:rsidRPr="00791B1B">
        <w:rPr>
          <w:rFonts w:ascii="Times New Roman" w:hAnsi="Times New Roman" w:cs="Times New Roman"/>
          <w:color w:val="000000" w:themeColor="text1"/>
          <w:sz w:val="24"/>
          <w:szCs w:val="24"/>
        </w:rPr>
        <w:br/>
        <w:t xml:space="preserve">    location_type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 xml:space="preserve">  data = reg_data</w:t>
      </w:r>
      <w:r w:rsidRPr="00791B1B">
        <w:rPr>
          <w:rFonts w:ascii="Times New Roman" w:hAnsi="Times New Roman" w:cs="Times New Roman"/>
          <w:color w:val="000000" w:themeColor="text1"/>
          <w:sz w:val="24"/>
          <w:szCs w:val="24"/>
        </w:rPr>
        <w:br/>
        <w:t>)</w:t>
      </w:r>
    </w:p>
    <w:p w14:paraId="481A76E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are summarized in Table 5.3.</w:t>
      </w:r>
    </w:p>
    <w:p w14:paraId="3A515902"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t>Table 5.3. Double Whammy Models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1872"/>
        <w:gridCol w:w="1872"/>
        <w:gridCol w:w="1872"/>
        <w:gridCol w:w="1872"/>
        <w:gridCol w:w="1872"/>
      </w:tblGrid>
      <w:tr w:rsidR="00791B1B" w:rsidRPr="00791B1B" w14:paraId="4D981EC3" w14:textId="77777777">
        <w:trPr>
          <w:jc w:val="center"/>
        </w:trPr>
        <w:tc>
          <w:tcPr>
            <w:tcW w:w="1872" w:type="dxa"/>
            <w:shd w:val="clear" w:color="auto" w:fill="1B365D"/>
            <w:tcMar>
              <w:top w:w="120" w:type="dxa"/>
              <w:left w:w="150" w:type="dxa"/>
              <w:bottom w:w="120" w:type="dxa"/>
              <w:right w:w="150" w:type="dxa"/>
            </w:tcMar>
          </w:tcPr>
          <w:p w14:paraId="5DD085AE"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Dependent variable</w:t>
            </w:r>
          </w:p>
        </w:tc>
        <w:tc>
          <w:tcPr>
            <w:tcW w:w="1872" w:type="dxa"/>
            <w:shd w:val="clear" w:color="auto" w:fill="1B365D"/>
            <w:tcMar>
              <w:top w:w="120" w:type="dxa"/>
              <w:left w:w="150" w:type="dxa"/>
              <w:bottom w:w="120" w:type="dxa"/>
              <w:right w:w="150" w:type="dxa"/>
            </w:tcMar>
          </w:tcPr>
          <w:p w14:paraId="23A549E4"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Predictor</w:t>
            </w:r>
          </w:p>
        </w:tc>
        <w:tc>
          <w:tcPr>
            <w:tcW w:w="1872" w:type="dxa"/>
            <w:shd w:val="clear" w:color="auto" w:fill="1B365D"/>
            <w:tcMar>
              <w:top w:w="120" w:type="dxa"/>
              <w:left w:w="150" w:type="dxa"/>
              <w:bottom w:w="120" w:type="dxa"/>
              <w:right w:w="150" w:type="dxa"/>
            </w:tcMar>
          </w:tcPr>
          <w:p w14:paraId="171075F7"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Coefficient (β)</w:t>
            </w:r>
          </w:p>
        </w:tc>
        <w:tc>
          <w:tcPr>
            <w:tcW w:w="1872" w:type="dxa"/>
            <w:shd w:val="clear" w:color="auto" w:fill="1B365D"/>
            <w:tcMar>
              <w:top w:w="120" w:type="dxa"/>
              <w:left w:w="150" w:type="dxa"/>
              <w:bottom w:w="120" w:type="dxa"/>
              <w:right w:w="150" w:type="dxa"/>
            </w:tcMar>
          </w:tcPr>
          <w:p w14:paraId="6D8A38CE"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Odds Ratio</w:t>
            </w:r>
          </w:p>
        </w:tc>
        <w:tc>
          <w:tcPr>
            <w:tcW w:w="1872" w:type="dxa"/>
            <w:shd w:val="clear" w:color="auto" w:fill="1B365D"/>
            <w:tcMar>
              <w:top w:w="120" w:type="dxa"/>
              <w:left w:w="150" w:type="dxa"/>
              <w:bottom w:w="120" w:type="dxa"/>
              <w:right w:w="150" w:type="dxa"/>
            </w:tcMar>
          </w:tcPr>
          <w:p w14:paraId="6AB219E4"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r>
      <w:tr w:rsidR="00791B1B" w:rsidRPr="00791B1B" w14:paraId="1FE28474" w14:textId="77777777">
        <w:trPr>
          <w:jc w:val="center"/>
        </w:trPr>
        <w:tc>
          <w:tcPr>
            <w:tcW w:w="1872" w:type="dxa"/>
            <w:shd w:val="clear" w:color="auto" w:fill="FFFFFF"/>
            <w:tcMar>
              <w:top w:w="100" w:type="dxa"/>
              <w:left w:w="150" w:type="dxa"/>
              <w:bottom w:w="100" w:type="dxa"/>
              <w:right w:w="150" w:type="dxa"/>
            </w:tcMar>
          </w:tcPr>
          <w:p w14:paraId="5FE0FDF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Water Mismatch</w:t>
            </w:r>
          </w:p>
        </w:tc>
        <w:tc>
          <w:tcPr>
            <w:tcW w:w="1872" w:type="dxa"/>
            <w:shd w:val="clear" w:color="auto" w:fill="FFFFFF"/>
            <w:tcMar>
              <w:top w:w="100" w:type="dxa"/>
              <w:left w:w="150" w:type="dxa"/>
              <w:bottom w:w="100" w:type="dxa"/>
              <w:right w:w="150" w:type="dxa"/>
            </w:tcMar>
          </w:tcPr>
          <w:p w14:paraId="557D13B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Access Mismatch</w:t>
            </w:r>
          </w:p>
        </w:tc>
        <w:tc>
          <w:tcPr>
            <w:tcW w:w="1872" w:type="dxa"/>
            <w:shd w:val="clear" w:color="auto" w:fill="FFFFFF"/>
            <w:tcMar>
              <w:top w:w="100" w:type="dxa"/>
              <w:left w:w="150" w:type="dxa"/>
              <w:bottom w:w="100" w:type="dxa"/>
              <w:right w:w="150" w:type="dxa"/>
            </w:tcMar>
          </w:tcPr>
          <w:p w14:paraId="3A69A1B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0.829</w:t>
            </w:r>
          </w:p>
        </w:tc>
        <w:tc>
          <w:tcPr>
            <w:tcW w:w="1872" w:type="dxa"/>
            <w:shd w:val="clear" w:color="auto" w:fill="FFFFFF"/>
            <w:tcMar>
              <w:top w:w="100" w:type="dxa"/>
              <w:left w:w="150" w:type="dxa"/>
              <w:bottom w:w="100" w:type="dxa"/>
              <w:right w:w="150" w:type="dxa"/>
            </w:tcMar>
          </w:tcPr>
          <w:p w14:paraId="016E456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2.29</w:t>
            </w:r>
          </w:p>
        </w:tc>
        <w:tc>
          <w:tcPr>
            <w:tcW w:w="1872" w:type="dxa"/>
            <w:shd w:val="clear" w:color="auto" w:fill="FFFFFF"/>
            <w:tcMar>
              <w:top w:w="100" w:type="dxa"/>
              <w:left w:w="150" w:type="dxa"/>
              <w:bottom w:w="100" w:type="dxa"/>
              <w:right w:w="150" w:type="dxa"/>
            </w:tcMar>
          </w:tcPr>
          <w:p w14:paraId="7E6911F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52429E99" w14:textId="77777777">
        <w:trPr>
          <w:jc w:val="center"/>
        </w:trPr>
        <w:tc>
          <w:tcPr>
            <w:tcW w:w="1872" w:type="dxa"/>
            <w:shd w:val="clear" w:color="auto" w:fill="F4F6F9"/>
            <w:tcMar>
              <w:top w:w="100" w:type="dxa"/>
              <w:left w:w="150" w:type="dxa"/>
              <w:bottom w:w="100" w:type="dxa"/>
              <w:right w:w="150" w:type="dxa"/>
            </w:tcMar>
          </w:tcPr>
          <w:p w14:paraId="500007D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Water Mismatch</w:t>
            </w:r>
          </w:p>
        </w:tc>
        <w:tc>
          <w:tcPr>
            <w:tcW w:w="1872" w:type="dxa"/>
            <w:shd w:val="clear" w:color="auto" w:fill="F4F6F9"/>
            <w:tcMar>
              <w:top w:w="100" w:type="dxa"/>
              <w:left w:w="150" w:type="dxa"/>
              <w:bottom w:w="100" w:type="dxa"/>
              <w:right w:w="150" w:type="dxa"/>
            </w:tcMar>
          </w:tcPr>
          <w:p w14:paraId="2C38C72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Health Clinic Mismatch</w:t>
            </w:r>
          </w:p>
        </w:tc>
        <w:tc>
          <w:tcPr>
            <w:tcW w:w="1872" w:type="dxa"/>
            <w:shd w:val="clear" w:color="auto" w:fill="F4F6F9"/>
            <w:tcMar>
              <w:top w:w="100" w:type="dxa"/>
              <w:left w:w="150" w:type="dxa"/>
              <w:bottom w:w="100" w:type="dxa"/>
              <w:right w:w="150" w:type="dxa"/>
            </w:tcMar>
          </w:tcPr>
          <w:p w14:paraId="193DD28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2.233</w:t>
            </w:r>
          </w:p>
        </w:tc>
        <w:tc>
          <w:tcPr>
            <w:tcW w:w="1872" w:type="dxa"/>
            <w:shd w:val="clear" w:color="auto" w:fill="F4F6F9"/>
            <w:tcMar>
              <w:top w:w="100" w:type="dxa"/>
              <w:left w:w="150" w:type="dxa"/>
              <w:bottom w:w="100" w:type="dxa"/>
              <w:right w:w="150" w:type="dxa"/>
            </w:tcMar>
          </w:tcPr>
          <w:p w14:paraId="73C356D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9.33</w:t>
            </w:r>
          </w:p>
        </w:tc>
        <w:tc>
          <w:tcPr>
            <w:tcW w:w="1872" w:type="dxa"/>
            <w:shd w:val="clear" w:color="auto" w:fill="F4F6F9"/>
            <w:tcMar>
              <w:top w:w="100" w:type="dxa"/>
              <w:left w:w="150" w:type="dxa"/>
              <w:bottom w:w="100" w:type="dxa"/>
              <w:right w:w="150" w:type="dxa"/>
            </w:tcMar>
          </w:tcPr>
          <w:p w14:paraId="27E689D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79C71198" w14:textId="77777777">
        <w:trPr>
          <w:jc w:val="center"/>
        </w:trPr>
        <w:tc>
          <w:tcPr>
            <w:tcW w:w="1872" w:type="dxa"/>
            <w:shd w:val="clear" w:color="auto" w:fill="FFFFFF"/>
            <w:tcMar>
              <w:top w:w="100" w:type="dxa"/>
              <w:left w:w="150" w:type="dxa"/>
              <w:bottom w:w="100" w:type="dxa"/>
              <w:right w:w="150" w:type="dxa"/>
            </w:tcMar>
          </w:tcPr>
          <w:p w14:paraId="60CB34D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Electricity/Fuel Mismatch</w:t>
            </w:r>
          </w:p>
        </w:tc>
        <w:tc>
          <w:tcPr>
            <w:tcW w:w="1872" w:type="dxa"/>
            <w:shd w:val="clear" w:color="auto" w:fill="FFFFFF"/>
            <w:tcMar>
              <w:top w:w="100" w:type="dxa"/>
              <w:left w:w="150" w:type="dxa"/>
              <w:bottom w:w="100" w:type="dxa"/>
              <w:right w:w="150" w:type="dxa"/>
            </w:tcMar>
          </w:tcPr>
          <w:p w14:paraId="6EB6ED1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Access Mismatch</w:t>
            </w:r>
          </w:p>
        </w:tc>
        <w:tc>
          <w:tcPr>
            <w:tcW w:w="1872" w:type="dxa"/>
            <w:shd w:val="clear" w:color="auto" w:fill="FFFFFF"/>
            <w:tcMar>
              <w:top w:w="100" w:type="dxa"/>
              <w:left w:w="150" w:type="dxa"/>
              <w:bottom w:w="100" w:type="dxa"/>
              <w:right w:w="150" w:type="dxa"/>
            </w:tcMar>
          </w:tcPr>
          <w:p w14:paraId="7AB2E5D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1.262</w:t>
            </w:r>
          </w:p>
        </w:tc>
        <w:tc>
          <w:tcPr>
            <w:tcW w:w="1872" w:type="dxa"/>
            <w:shd w:val="clear" w:color="auto" w:fill="FFFFFF"/>
            <w:tcMar>
              <w:top w:w="100" w:type="dxa"/>
              <w:left w:w="150" w:type="dxa"/>
              <w:bottom w:w="100" w:type="dxa"/>
              <w:right w:w="150" w:type="dxa"/>
            </w:tcMar>
          </w:tcPr>
          <w:p w14:paraId="3C2882C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3.53</w:t>
            </w:r>
          </w:p>
        </w:tc>
        <w:tc>
          <w:tcPr>
            <w:tcW w:w="1872" w:type="dxa"/>
            <w:shd w:val="clear" w:color="auto" w:fill="FFFFFF"/>
            <w:tcMar>
              <w:top w:w="100" w:type="dxa"/>
              <w:left w:w="150" w:type="dxa"/>
              <w:bottom w:w="100" w:type="dxa"/>
              <w:right w:w="150" w:type="dxa"/>
            </w:tcMar>
          </w:tcPr>
          <w:p w14:paraId="792E217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47A4E479" w14:textId="77777777">
        <w:trPr>
          <w:jc w:val="center"/>
        </w:trPr>
        <w:tc>
          <w:tcPr>
            <w:tcW w:w="1872" w:type="dxa"/>
            <w:shd w:val="clear" w:color="auto" w:fill="F4F6F9"/>
            <w:tcMar>
              <w:top w:w="100" w:type="dxa"/>
              <w:left w:w="150" w:type="dxa"/>
              <w:bottom w:w="100" w:type="dxa"/>
              <w:right w:w="150" w:type="dxa"/>
            </w:tcMar>
          </w:tcPr>
          <w:p w14:paraId="64FAF11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Electricity/Fuel Mismatch</w:t>
            </w:r>
          </w:p>
        </w:tc>
        <w:tc>
          <w:tcPr>
            <w:tcW w:w="1872" w:type="dxa"/>
            <w:shd w:val="clear" w:color="auto" w:fill="F4F6F9"/>
            <w:tcMar>
              <w:top w:w="100" w:type="dxa"/>
              <w:left w:w="150" w:type="dxa"/>
              <w:bottom w:w="100" w:type="dxa"/>
              <w:right w:w="150" w:type="dxa"/>
            </w:tcMar>
          </w:tcPr>
          <w:p w14:paraId="0A012AA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Health Clinic Mismatch</w:t>
            </w:r>
          </w:p>
        </w:tc>
        <w:tc>
          <w:tcPr>
            <w:tcW w:w="1872" w:type="dxa"/>
            <w:shd w:val="clear" w:color="auto" w:fill="F4F6F9"/>
            <w:tcMar>
              <w:top w:w="100" w:type="dxa"/>
              <w:left w:w="150" w:type="dxa"/>
              <w:bottom w:w="100" w:type="dxa"/>
              <w:right w:w="150" w:type="dxa"/>
            </w:tcMar>
          </w:tcPr>
          <w:p w14:paraId="69CEDE5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2.573</w:t>
            </w:r>
          </w:p>
        </w:tc>
        <w:tc>
          <w:tcPr>
            <w:tcW w:w="1872" w:type="dxa"/>
            <w:shd w:val="clear" w:color="auto" w:fill="F4F6F9"/>
            <w:tcMar>
              <w:top w:w="100" w:type="dxa"/>
              <w:left w:w="150" w:type="dxa"/>
              <w:bottom w:w="100" w:type="dxa"/>
              <w:right w:w="150" w:type="dxa"/>
            </w:tcMar>
          </w:tcPr>
          <w:p w14:paraId="403502A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13.10</w:t>
            </w:r>
          </w:p>
        </w:tc>
        <w:tc>
          <w:tcPr>
            <w:tcW w:w="1872" w:type="dxa"/>
            <w:shd w:val="clear" w:color="auto" w:fill="F4F6F9"/>
            <w:tcMar>
              <w:top w:w="100" w:type="dxa"/>
              <w:left w:w="150" w:type="dxa"/>
              <w:bottom w:w="100" w:type="dxa"/>
              <w:right w:w="150" w:type="dxa"/>
            </w:tcMar>
          </w:tcPr>
          <w:p w14:paraId="4CB49AD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bl>
    <w:p w14:paraId="1BDDE2E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lastRenderedPageBreak/>
        <w:t>The regression results provide strong empirical support for the Double Whammy Hypothesis. Even after controlling for one another, both Cash Access Mismatch and Health Clinic Mismatch remain positive and highly statistically significant predictors of severe service failure. This indicates that the observed relationships are not merely capturing the same underlying process. Instead, financial exclusion and healthcare failure each contribute independently to explaining additional infrastructure breakdown.</w:t>
      </w:r>
    </w:p>
    <w:p w14:paraId="2A5695C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For the Water Mismatch model, communities experiencing Cash Access Mismatch exhibit approximately 2.29 times higher odds of severe water-service failure than comparable communities without financial-service failure (β = 0.829, p &lt; 0.001). At the same time, Health Clinic Mismatch increases the odds of Water Mismatch by more than nine times (OR = 9.33, β = 2.233, p &lt; 0.001). The considerably larger coefficient for Health Clinic Mismatch suggests that healthcare failure becomes the dominant predictor of water-system fragility once financial exclusion has already been taken into account.</w:t>
      </w:r>
    </w:p>
    <w:p w14:paraId="56BDCA2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Electricity/Fuel model produces an even stronger pattern. Cash Access Mismatch remains a statistically significant predictor, increasing the odds of Electricity/Fuel Mismatch by approximately 3.53 times (β = 1.262, p &lt; 0.001). However, Health Clinic Mismatch continues to exhibit the largest effect, increasing the odds of Electricity/Fuel Mismatch by more than thirteen times (OR = 13.10, β = 2.573, p &lt; 0.001). These exceptionally large odds ratios indicate that severe healthcare failure is closely associated with broader infrastructure collapse, particularly in sectors requiring reliable energy systems.</w:t>
      </w:r>
    </w:p>
    <w:p w14:paraId="4A018E4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persistence of both coefficients after mutual adjustment has important theoretical implications. If Cash Access Mismatch and Health Clinic Mismatch simply measured the same underlying phenomenon, one coefficient would be expected to lose significance once the other entered the model. Instead, both variables remain independently significant, demonstrating that financial exclusion and healthcare failure capture distinct dimensions of public-service fragility. Cash Access primarily reflects household-level economic constraints, whereas Health Clinic Mismatch reflects institutional and service-delivery weaknesses. Together, they explain substantially more variation in infrastructure failure than either variable alone.</w:t>
      </w:r>
    </w:p>
    <w:p w14:paraId="38BC8F5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These findings strengthen the conceptual framework proposed in this study. The earlier regression models established that cash access initiates many cascading failures and that healthcare acts as a secondary transmission node. The Double Whammy models demonstrate that these mechanisms operate simultaneously rather than sequentially. Communities experiencing both financial and healthcare failure therefore face considerably greater risks of broader service collapse than communities experiencing only one form of deprivation.</w:t>
      </w:r>
    </w:p>
    <w:p w14:paraId="34D3CA0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From a policy perspective, the results suggest that interventions targeting only a single service sector are unlikely to eliminate persistent service failures. Improving healthcare without addressing financial exclusion may leave households unable to access available services, while expanding financial inclusion without strengthening healthcare capacity may fail to resolve institutional weaknesses. Effective policy responses should therefore combine economic </w:t>
      </w:r>
      <w:r w:rsidRPr="00791B1B">
        <w:rPr>
          <w:rFonts w:ascii="Times New Roman" w:hAnsi="Times New Roman" w:cs="Times New Roman"/>
          <w:color w:val="000000" w:themeColor="text1"/>
          <w:sz w:val="24"/>
          <w:szCs w:val="24"/>
        </w:rPr>
        <w:lastRenderedPageBreak/>
        <w:t>inclusion with improvements in health-service delivery, recognising that resilient public-service systems depend upon multiple interconnected sectors operating effectively together.</w:t>
      </w:r>
    </w:p>
    <w:p w14:paraId="3BF97A8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Overall, the regression evidence provides strong support for Hypothesis 5. Cash Access Mismatch and Health Clinic Mismatch remain independent and statistically significant predictors of Water and Electricity/Fuel mismatches, confirming that simultaneous service failures compound rather than simply duplicate the risks of cascading infrastructure breakdown.</w:t>
      </w:r>
    </w:p>
    <w:p w14:paraId="6CDF6C87" w14:textId="77777777" w:rsidR="00A333C3" w:rsidRPr="00091DB3" w:rsidRDefault="00000000">
      <w:pPr>
        <w:keepNext/>
        <w:spacing w:before="280" w:after="80"/>
        <w:rPr>
          <w:rFonts w:ascii="Times New Roman" w:hAnsi="Times New Roman" w:cs="Times New Roman"/>
          <w:color w:val="000000" w:themeColor="text1"/>
          <w:sz w:val="28"/>
          <w:szCs w:val="28"/>
        </w:rPr>
      </w:pPr>
      <w:r w:rsidRPr="00091DB3">
        <w:rPr>
          <w:rFonts w:ascii="Times New Roman" w:hAnsi="Times New Roman" w:cs="Times New Roman"/>
          <w:b/>
          <w:color w:val="000000" w:themeColor="text1"/>
          <w:sz w:val="28"/>
          <w:szCs w:val="28"/>
        </w:rPr>
        <w:t>5.5 Does Location Moderate Cascading Service Failure? The Urban Trap Hypothesis (H6)</w:t>
      </w:r>
    </w:p>
    <w:p w14:paraId="52537A2B"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6: Urban Trap Hypothesis</w:t>
      </w:r>
    </w:p>
    <w:p w14:paraId="678298A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Hypothesis 6 proposes that urban communities are not automatically protected from cascading public-service failures. Although urban areas generally possess more visible infrastructure than rural areas, their greater dependence on formal financial systems may strengthen the relationship between Cash Access Mismatch and failures in other service sectors.</w:t>
      </w:r>
    </w:p>
    <w:p w14:paraId="182791D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previous analyses demonstrated that Cash Access Mismatch functions as the principal transmission mechanism within the Public Service Visibility Paradox. However, these models implicitly assume that the transmission process is identical across all communities. In reality, the dependence of households on public services varies considerably according to settlement type. Urban communities typically possess greater concentrations of physical infrastructure, financial institutions, and public facilities than rural communities. Nevertheless, they are also more dependent on formal service networks. Consequently, disruptions to one component of the system may produce stronger cascading effects than in rural settings, where households often rely on informal coping mechanisms.</w:t>
      </w:r>
    </w:p>
    <w:p w14:paraId="4111D38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To evaluate whether settlement type modifies the transmission of service failure, separate logistic regression models were estimated for urban and rural communities. Cash Access Mismatch remained the principal explanatory variable, while Electricity/Fuel Mismatch served as the dependent variable because earlier analyses identified this relationship as the strongest cascade pathway.</w:t>
      </w:r>
    </w:p>
    <w:p w14:paraId="63EC71E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representative estimation procedure is shown below.</w:t>
      </w:r>
    </w:p>
    <w:p w14:paraId="00DB7E6C"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urban_model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electricity_fuel_mismatch ~</w:t>
      </w:r>
      <w:r w:rsidRPr="00791B1B">
        <w:rPr>
          <w:rFonts w:ascii="Times New Roman" w:hAnsi="Times New Roman" w:cs="Times New Roman"/>
          <w:color w:val="000000" w:themeColor="text1"/>
          <w:sz w:val="24"/>
          <w:szCs w:val="24"/>
        </w:rPr>
        <w:br/>
        <w:t xml:space="preserve">    cash_access_mismatch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 xml:space="preserve">  data = subset(reg_data, location_type == "Urban")</w:t>
      </w:r>
      <w:r w:rsidRPr="00791B1B">
        <w:rPr>
          <w:rFonts w:ascii="Times New Roman" w:hAnsi="Times New Roman" w:cs="Times New Roman"/>
          <w:color w:val="000000" w:themeColor="text1"/>
          <w:sz w:val="24"/>
          <w:szCs w:val="24"/>
        </w:rPr>
        <w:br/>
        <w:t>)</w:t>
      </w:r>
    </w:p>
    <w:p w14:paraId="7F8DA93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are summarized in Table 5.4.</w:t>
      </w:r>
    </w:p>
    <w:p w14:paraId="78A23EE2"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lastRenderedPageBreak/>
        <w:t>Table 5.4. Urban and Rural Cash Bottleneck Models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2340"/>
        <w:gridCol w:w="2340"/>
        <w:gridCol w:w="2340"/>
        <w:gridCol w:w="2340"/>
      </w:tblGrid>
      <w:tr w:rsidR="00791B1B" w:rsidRPr="00791B1B" w14:paraId="4FFCD1CB" w14:textId="77777777">
        <w:trPr>
          <w:jc w:val="center"/>
        </w:trPr>
        <w:tc>
          <w:tcPr>
            <w:tcW w:w="2340" w:type="dxa"/>
            <w:shd w:val="clear" w:color="auto" w:fill="1B365D"/>
            <w:tcMar>
              <w:top w:w="120" w:type="dxa"/>
              <w:left w:w="150" w:type="dxa"/>
              <w:bottom w:w="120" w:type="dxa"/>
              <w:right w:w="150" w:type="dxa"/>
            </w:tcMar>
          </w:tcPr>
          <w:p w14:paraId="035352A0"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Settlement Type</w:t>
            </w:r>
          </w:p>
        </w:tc>
        <w:tc>
          <w:tcPr>
            <w:tcW w:w="2340" w:type="dxa"/>
            <w:shd w:val="clear" w:color="auto" w:fill="1B365D"/>
            <w:tcMar>
              <w:top w:w="120" w:type="dxa"/>
              <w:left w:w="150" w:type="dxa"/>
              <w:bottom w:w="120" w:type="dxa"/>
              <w:right w:w="150" w:type="dxa"/>
            </w:tcMar>
          </w:tcPr>
          <w:p w14:paraId="2E95749B"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Coefficient (β)</w:t>
            </w:r>
          </w:p>
        </w:tc>
        <w:tc>
          <w:tcPr>
            <w:tcW w:w="2340" w:type="dxa"/>
            <w:shd w:val="clear" w:color="auto" w:fill="1B365D"/>
            <w:tcMar>
              <w:top w:w="120" w:type="dxa"/>
              <w:left w:w="150" w:type="dxa"/>
              <w:bottom w:w="120" w:type="dxa"/>
              <w:right w:w="150" w:type="dxa"/>
            </w:tcMar>
          </w:tcPr>
          <w:p w14:paraId="36A725CB"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Odds Ratio</w:t>
            </w:r>
          </w:p>
        </w:tc>
        <w:tc>
          <w:tcPr>
            <w:tcW w:w="2340" w:type="dxa"/>
            <w:shd w:val="clear" w:color="auto" w:fill="1B365D"/>
            <w:tcMar>
              <w:top w:w="120" w:type="dxa"/>
              <w:left w:w="150" w:type="dxa"/>
              <w:bottom w:w="120" w:type="dxa"/>
              <w:right w:w="150" w:type="dxa"/>
            </w:tcMar>
          </w:tcPr>
          <w:p w14:paraId="4561B22A"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r>
      <w:tr w:rsidR="00791B1B" w:rsidRPr="00791B1B" w14:paraId="5CDD73C8" w14:textId="77777777">
        <w:trPr>
          <w:jc w:val="center"/>
        </w:trPr>
        <w:tc>
          <w:tcPr>
            <w:tcW w:w="2340" w:type="dxa"/>
            <w:shd w:val="clear" w:color="auto" w:fill="FFFFFF"/>
            <w:tcMar>
              <w:top w:w="100" w:type="dxa"/>
              <w:left w:w="150" w:type="dxa"/>
              <w:bottom w:w="100" w:type="dxa"/>
              <w:right w:w="150" w:type="dxa"/>
            </w:tcMar>
          </w:tcPr>
          <w:p w14:paraId="31093F1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Urban</w:t>
            </w:r>
          </w:p>
        </w:tc>
        <w:tc>
          <w:tcPr>
            <w:tcW w:w="2340" w:type="dxa"/>
            <w:shd w:val="clear" w:color="auto" w:fill="FFFFFF"/>
            <w:tcMar>
              <w:top w:w="100" w:type="dxa"/>
              <w:left w:w="150" w:type="dxa"/>
              <w:bottom w:w="100" w:type="dxa"/>
              <w:right w:w="150" w:type="dxa"/>
            </w:tcMar>
          </w:tcPr>
          <w:p w14:paraId="4AC6809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2.667</w:t>
            </w:r>
          </w:p>
        </w:tc>
        <w:tc>
          <w:tcPr>
            <w:tcW w:w="2340" w:type="dxa"/>
            <w:shd w:val="clear" w:color="auto" w:fill="FFFFFF"/>
            <w:tcMar>
              <w:top w:w="100" w:type="dxa"/>
              <w:left w:w="150" w:type="dxa"/>
              <w:bottom w:w="100" w:type="dxa"/>
              <w:right w:w="150" w:type="dxa"/>
            </w:tcMar>
          </w:tcPr>
          <w:p w14:paraId="3C3F166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14.40</w:t>
            </w:r>
          </w:p>
        </w:tc>
        <w:tc>
          <w:tcPr>
            <w:tcW w:w="2340" w:type="dxa"/>
            <w:shd w:val="clear" w:color="auto" w:fill="FFFFFF"/>
            <w:tcMar>
              <w:top w:w="100" w:type="dxa"/>
              <w:left w:w="150" w:type="dxa"/>
              <w:bottom w:w="100" w:type="dxa"/>
              <w:right w:w="150" w:type="dxa"/>
            </w:tcMar>
          </w:tcPr>
          <w:p w14:paraId="5B4ABA6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r w:rsidR="00791B1B" w:rsidRPr="00791B1B" w14:paraId="7CF97B75" w14:textId="77777777">
        <w:trPr>
          <w:jc w:val="center"/>
        </w:trPr>
        <w:tc>
          <w:tcPr>
            <w:tcW w:w="2340" w:type="dxa"/>
            <w:shd w:val="clear" w:color="auto" w:fill="F4F6F9"/>
            <w:tcMar>
              <w:top w:w="100" w:type="dxa"/>
              <w:left w:w="150" w:type="dxa"/>
              <w:bottom w:w="100" w:type="dxa"/>
              <w:right w:w="150" w:type="dxa"/>
            </w:tcMar>
          </w:tcPr>
          <w:p w14:paraId="36AF974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Rural</w:t>
            </w:r>
          </w:p>
        </w:tc>
        <w:tc>
          <w:tcPr>
            <w:tcW w:w="2340" w:type="dxa"/>
            <w:shd w:val="clear" w:color="auto" w:fill="F4F6F9"/>
            <w:tcMar>
              <w:top w:w="100" w:type="dxa"/>
              <w:left w:w="150" w:type="dxa"/>
              <w:bottom w:w="100" w:type="dxa"/>
              <w:right w:w="150" w:type="dxa"/>
            </w:tcMar>
          </w:tcPr>
          <w:p w14:paraId="094A32B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2.460</w:t>
            </w:r>
          </w:p>
        </w:tc>
        <w:tc>
          <w:tcPr>
            <w:tcW w:w="2340" w:type="dxa"/>
            <w:shd w:val="clear" w:color="auto" w:fill="F4F6F9"/>
            <w:tcMar>
              <w:top w:w="100" w:type="dxa"/>
              <w:left w:w="150" w:type="dxa"/>
              <w:bottom w:w="100" w:type="dxa"/>
              <w:right w:w="150" w:type="dxa"/>
            </w:tcMar>
          </w:tcPr>
          <w:p w14:paraId="7E876BD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11.70</w:t>
            </w:r>
          </w:p>
        </w:tc>
        <w:tc>
          <w:tcPr>
            <w:tcW w:w="2340" w:type="dxa"/>
            <w:shd w:val="clear" w:color="auto" w:fill="F4F6F9"/>
            <w:tcMar>
              <w:top w:w="100" w:type="dxa"/>
              <w:left w:w="150" w:type="dxa"/>
              <w:bottom w:w="100" w:type="dxa"/>
              <w:right w:w="150" w:type="dxa"/>
            </w:tcMar>
          </w:tcPr>
          <w:p w14:paraId="2C420D0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r>
    </w:tbl>
    <w:p w14:paraId="0A023C2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provide strong support for the Urban Trap Hypothesis. Cash Access Mismatch remains a highly significant predictor of Electricity/Fuel Mismatch in both settlement types, indicating that financial exclusion is an important transmission mechanism regardless of geographical location. However, the estimated association is stronger in urban communities than in rural communities.</w:t>
      </w:r>
    </w:p>
    <w:p w14:paraId="12C984F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For urban areas, Cash Access Mismatch increases the odds of severe Electricity/Fuel Mismatch by approximately 14.4 times (β = 2.667, p &lt; 0.001). In rural communities, the estimated effect remains substantial, with an odds ratio of 11.7 (β = 2.460, p &lt; 0.001). Although both coefficients are exceptionally large, the stronger urban association suggests that financial-service disruption has greater consequences where households depend more heavily on formal infrastructure systems.</w:t>
      </w:r>
    </w:p>
    <w:p w14:paraId="57FE124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This finding challenges the common assumption that urban communities are inherently more resilient because they possess greater infrastructure coverage. The present results indicate that infrastructure concentration does not necessarily translate into system resilience. Instead, the greater interconnectedness of urban service networks may increase vulnerability once one critical component fails. Urban households frequently rely on electronic payment systems, formal banking services, utility providers, and regulated energy markets. Consequently, severe financial exclusion may rapidly restrict access to several other essential services.</w:t>
      </w:r>
    </w:p>
    <w:p w14:paraId="491009E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difference between urban and rural communities should therefore be interpreted in terms of service dependence rather than infrastructure availability. Rural households often supplement formal services through informal support networks, subsistence activities, or alternative energy sources. Urban households generally possess fewer such alternatives, making them more exposed to cascading failures when formal financial systems become inaccessible.</w:t>
      </w:r>
    </w:p>
    <w:p w14:paraId="0757DFA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These findings extend the Cash Bottleneck Hypothesis by demonstrating that the transmission of service failure is conditioned by local context. Financial exclusion remains an important predictor of infrastructure failure across all communities, but its effects are amplified where dependence on formal service systems is greatest.</w:t>
      </w:r>
    </w:p>
    <w:p w14:paraId="512B8DC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Overall, the evidence supports Hypothesis 6. Urban communities are not protected from cascading public-service failures. On the contrary, the regression results suggest that the close integration of urban infrastructure systems may increase vulnerability to severe service cascades once financial access breaks down. Having established that geographical context influences </w:t>
      </w:r>
      <w:r w:rsidRPr="00791B1B">
        <w:rPr>
          <w:rFonts w:ascii="Times New Roman" w:hAnsi="Times New Roman" w:cs="Times New Roman"/>
          <w:color w:val="000000" w:themeColor="text1"/>
          <w:sz w:val="24"/>
          <w:szCs w:val="24"/>
        </w:rPr>
        <w:lastRenderedPageBreak/>
        <w:t>cascade intensity, the next section investigates whether national governance capacity also moderates these relationships across countries.</w:t>
      </w:r>
    </w:p>
    <w:p w14:paraId="0EEB57DA" w14:textId="77777777" w:rsidR="00A333C3" w:rsidRPr="00791B1B" w:rsidRDefault="00000000">
      <w:pPr>
        <w:keepNext/>
        <w:spacing w:before="280" w:after="80"/>
        <w:rPr>
          <w:rFonts w:ascii="Times New Roman" w:hAnsi="Times New Roman" w:cs="Times New Roman"/>
          <w:color w:val="000000" w:themeColor="text1"/>
          <w:sz w:val="24"/>
          <w:szCs w:val="24"/>
        </w:rPr>
      </w:pPr>
      <w:r w:rsidRPr="00091DB3">
        <w:rPr>
          <w:rFonts w:ascii="Times New Roman" w:hAnsi="Times New Roman" w:cs="Times New Roman"/>
          <w:b/>
          <w:color w:val="000000" w:themeColor="text1"/>
          <w:sz w:val="28"/>
          <w:szCs w:val="28"/>
        </w:rPr>
        <w:t>5.6 Does Governance Moderate Service Cascades? The Governance Frontier Hypothesis</w:t>
      </w:r>
      <w:r w:rsidRPr="00791B1B">
        <w:rPr>
          <w:rFonts w:ascii="Times New Roman" w:hAnsi="Times New Roman" w:cs="Times New Roman"/>
          <w:b/>
          <w:color w:val="000000" w:themeColor="text1"/>
          <w:sz w:val="24"/>
          <w:szCs w:val="24"/>
        </w:rPr>
        <w:t xml:space="preserve"> (H7)</w:t>
      </w:r>
    </w:p>
    <w:p w14:paraId="7595F506"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7: Governance Frontier Hypothesis</w:t>
      </w:r>
    </w:p>
    <w:p w14:paraId="14E5D52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Hypothesis 7 proposes that national governance capacity moderates cascading public-service failures. Countries with stronger institutional capacity are expected to show weaker cash-driven cascades than countries with weaker governance systems, although some critical infrastructure systems may remain vulnerable.</w:t>
      </w:r>
    </w:p>
    <w:p w14:paraId="502FEBB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preceding analyses showed that Cash Access Mismatch is a major transmission mechanism in the service-delivery system. However, the strength of this relationship may vary depending on the broader institutional environment. Public services require not only physical infrastructure, but also reliable maintenance, financing, staffing, regulation, accountability, and coordination. For this reason, the Governance Frontier Hypothesis tests whether cash-driven cascades differ between a comparatively stronger governance context and a more fragile service-delivery context.</w:t>
      </w:r>
    </w:p>
    <w:p w14:paraId="59720F6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To examine this question, separate logistic regression models were estimated for Mauritius and Zimbabwe. Mauritius was used as the higher-capacity comparison case because it records comparatively low severe mismatch rates, while Zimbabwe was used as the lower-capacity comparison case because it displays higher levels of infrastructure and service-delivery vulnerability. In each model, Cash Access Mismatch is used to predict Health Clinic, Water, and Electricity/Fuel mismatches.</w:t>
      </w:r>
    </w:p>
    <w:p w14:paraId="07C52F3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 representative model specification is shown below.</w:t>
      </w:r>
    </w:p>
    <w:p w14:paraId="32B2350A" w14:textId="77777777" w:rsidR="00A333C3"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model_zimbabwe_cash_to_health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health_mismatch ~ cash_access_mismatch,</w:t>
      </w:r>
      <w:r w:rsidRPr="00791B1B">
        <w:rPr>
          <w:rFonts w:ascii="Times New Roman" w:hAnsi="Times New Roman" w:cs="Times New Roman"/>
          <w:color w:val="000000" w:themeColor="text1"/>
          <w:sz w:val="24"/>
          <w:szCs w:val="24"/>
        </w:rPr>
        <w:br/>
        <w:t xml:space="preserve">  data = zimbabwe_data,</w:t>
      </w:r>
      <w:r w:rsidRPr="00791B1B">
        <w:rPr>
          <w:rFonts w:ascii="Times New Roman" w:hAnsi="Times New Roman" w:cs="Times New Roman"/>
          <w:color w:val="000000" w:themeColor="text1"/>
          <w:sz w:val="24"/>
          <w:szCs w:val="24"/>
        </w:rPr>
        <w:br/>
        <w:t xml:space="preserve">  family = binomial</w:t>
      </w:r>
      <w:r w:rsidRPr="00791B1B">
        <w:rPr>
          <w:rFonts w:ascii="Times New Roman" w:hAnsi="Times New Roman" w:cs="Times New Roman"/>
          <w:color w:val="000000" w:themeColor="text1"/>
          <w:sz w:val="24"/>
          <w:szCs w:val="24"/>
        </w:rPr>
        <w:br/>
        <w:t>)</w:t>
      </w:r>
    </w:p>
    <w:p w14:paraId="75402906" w14:textId="77777777" w:rsidR="00791B1B" w:rsidRDefault="00791B1B">
      <w:pPr>
        <w:spacing w:before="120"/>
        <w:ind w:left="720"/>
        <w:rPr>
          <w:rFonts w:ascii="Times New Roman" w:hAnsi="Times New Roman" w:cs="Times New Roman"/>
          <w:color w:val="000000" w:themeColor="text1"/>
          <w:sz w:val="24"/>
          <w:szCs w:val="24"/>
        </w:rPr>
      </w:pPr>
    </w:p>
    <w:p w14:paraId="005F297A" w14:textId="77777777" w:rsidR="00791B1B" w:rsidRDefault="00791B1B">
      <w:pPr>
        <w:spacing w:before="120"/>
        <w:ind w:left="720"/>
        <w:rPr>
          <w:rFonts w:ascii="Times New Roman" w:hAnsi="Times New Roman" w:cs="Times New Roman"/>
          <w:color w:val="000000" w:themeColor="text1"/>
          <w:sz w:val="24"/>
          <w:szCs w:val="24"/>
        </w:rPr>
      </w:pPr>
    </w:p>
    <w:p w14:paraId="33908DED" w14:textId="77777777" w:rsidR="00791B1B" w:rsidRDefault="00791B1B">
      <w:pPr>
        <w:spacing w:before="120"/>
        <w:ind w:left="720"/>
        <w:rPr>
          <w:rFonts w:ascii="Times New Roman" w:hAnsi="Times New Roman" w:cs="Times New Roman"/>
          <w:color w:val="000000" w:themeColor="text1"/>
          <w:sz w:val="24"/>
          <w:szCs w:val="24"/>
        </w:rPr>
      </w:pPr>
    </w:p>
    <w:p w14:paraId="125BD906" w14:textId="77777777" w:rsidR="00791B1B" w:rsidRDefault="00791B1B">
      <w:pPr>
        <w:spacing w:before="120"/>
        <w:ind w:left="720"/>
        <w:rPr>
          <w:rFonts w:ascii="Times New Roman" w:hAnsi="Times New Roman" w:cs="Times New Roman"/>
          <w:color w:val="000000" w:themeColor="text1"/>
          <w:sz w:val="24"/>
          <w:szCs w:val="24"/>
        </w:rPr>
      </w:pPr>
    </w:p>
    <w:p w14:paraId="16F633FD" w14:textId="77777777" w:rsidR="00791B1B" w:rsidRDefault="00791B1B">
      <w:pPr>
        <w:spacing w:before="120"/>
        <w:ind w:left="720"/>
        <w:rPr>
          <w:rFonts w:ascii="Times New Roman" w:hAnsi="Times New Roman" w:cs="Times New Roman"/>
          <w:color w:val="000000" w:themeColor="text1"/>
          <w:sz w:val="24"/>
          <w:szCs w:val="24"/>
        </w:rPr>
      </w:pPr>
    </w:p>
    <w:p w14:paraId="56AAE82E" w14:textId="77777777" w:rsidR="00791B1B" w:rsidRDefault="00791B1B">
      <w:pPr>
        <w:spacing w:before="120"/>
        <w:ind w:left="720"/>
        <w:rPr>
          <w:rFonts w:ascii="Times New Roman" w:hAnsi="Times New Roman" w:cs="Times New Roman"/>
          <w:color w:val="000000" w:themeColor="text1"/>
          <w:sz w:val="24"/>
          <w:szCs w:val="24"/>
        </w:rPr>
      </w:pPr>
    </w:p>
    <w:p w14:paraId="3355C5BD" w14:textId="77777777" w:rsidR="00791B1B" w:rsidRPr="00791B1B" w:rsidRDefault="00791B1B">
      <w:pPr>
        <w:spacing w:before="120"/>
        <w:ind w:left="720"/>
        <w:rPr>
          <w:rFonts w:ascii="Times New Roman" w:hAnsi="Times New Roman" w:cs="Times New Roman"/>
          <w:color w:val="000000" w:themeColor="text1"/>
          <w:sz w:val="24"/>
          <w:szCs w:val="24"/>
        </w:rPr>
      </w:pPr>
    </w:p>
    <w:p w14:paraId="79A9A07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are summarized in Table 5.5.</w:t>
      </w:r>
    </w:p>
    <w:p w14:paraId="7B7DDB48"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t>Table 5.5. Governance Frontier Models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1484"/>
        <w:gridCol w:w="1793"/>
        <w:gridCol w:w="1514"/>
        <w:gridCol w:w="1360"/>
        <w:gridCol w:w="1442"/>
        <w:gridCol w:w="1767"/>
      </w:tblGrid>
      <w:tr w:rsidR="00791B1B" w:rsidRPr="00791B1B" w14:paraId="42B39590" w14:textId="77777777">
        <w:trPr>
          <w:jc w:val="center"/>
        </w:trPr>
        <w:tc>
          <w:tcPr>
            <w:tcW w:w="1560" w:type="dxa"/>
            <w:shd w:val="clear" w:color="auto" w:fill="1B365D"/>
            <w:tcMar>
              <w:top w:w="120" w:type="dxa"/>
              <w:left w:w="150" w:type="dxa"/>
              <w:bottom w:w="120" w:type="dxa"/>
              <w:right w:w="150" w:type="dxa"/>
            </w:tcMar>
          </w:tcPr>
          <w:p w14:paraId="26524248"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Country</w:t>
            </w:r>
          </w:p>
        </w:tc>
        <w:tc>
          <w:tcPr>
            <w:tcW w:w="1560" w:type="dxa"/>
            <w:shd w:val="clear" w:color="auto" w:fill="1B365D"/>
            <w:tcMar>
              <w:top w:w="120" w:type="dxa"/>
              <w:left w:w="150" w:type="dxa"/>
              <w:bottom w:w="120" w:type="dxa"/>
              <w:right w:w="150" w:type="dxa"/>
            </w:tcMar>
          </w:tcPr>
          <w:p w14:paraId="3CC59800"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Pathway</w:t>
            </w:r>
          </w:p>
        </w:tc>
        <w:tc>
          <w:tcPr>
            <w:tcW w:w="1560" w:type="dxa"/>
            <w:shd w:val="clear" w:color="auto" w:fill="1B365D"/>
            <w:tcMar>
              <w:top w:w="120" w:type="dxa"/>
              <w:left w:w="150" w:type="dxa"/>
              <w:bottom w:w="120" w:type="dxa"/>
              <w:right w:w="150" w:type="dxa"/>
            </w:tcMar>
          </w:tcPr>
          <w:p w14:paraId="03651BA9"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Coefficient (β)</w:t>
            </w:r>
          </w:p>
        </w:tc>
        <w:tc>
          <w:tcPr>
            <w:tcW w:w="1560" w:type="dxa"/>
            <w:shd w:val="clear" w:color="auto" w:fill="1B365D"/>
            <w:tcMar>
              <w:top w:w="120" w:type="dxa"/>
              <w:left w:w="150" w:type="dxa"/>
              <w:bottom w:w="120" w:type="dxa"/>
              <w:right w:w="150" w:type="dxa"/>
            </w:tcMar>
          </w:tcPr>
          <w:p w14:paraId="58E2C5D6"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Odds Ratio</w:t>
            </w:r>
          </w:p>
        </w:tc>
        <w:tc>
          <w:tcPr>
            <w:tcW w:w="1560" w:type="dxa"/>
            <w:shd w:val="clear" w:color="auto" w:fill="1B365D"/>
            <w:tcMar>
              <w:top w:w="120" w:type="dxa"/>
              <w:left w:w="150" w:type="dxa"/>
              <w:bottom w:w="120" w:type="dxa"/>
              <w:right w:w="150" w:type="dxa"/>
            </w:tcMar>
          </w:tcPr>
          <w:p w14:paraId="0ECC795D"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c>
          <w:tcPr>
            <w:tcW w:w="1560" w:type="dxa"/>
            <w:shd w:val="clear" w:color="auto" w:fill="1B365D"/>
            <w:tcMar>
              <w:top w:w="120" w:type="dxa"/>
              <w:left w:w="150" w:type="dxa"/>
              <w:bottom w:w="120" w:type="dxa"/>
              <w:right w:w="150" w:type="dxa"/>
            </w:tcMar>
          </w:tcPr>
          <w:p w14:paraId="5558975C"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Interpretation</w:t>
            </w:r>
          </w:p>
        </w:tc>
      </w:tr>
      <w:tr w:rsidR="00791B1B" w:rsidRPr="00791B1B" w14:paraId="432B48FD" w14:textId="77777777">
        <w:trPr>
          <w:jc w:val="center"/>
        </w:trPr>
        <w:tc>
          <w:tcPr>
            <w:tcW w:w="1560" w:type="dxa"/>
            <w:shd w:val="clear" w:color="auto" w:fill="FFFFFF"/>
            <w:tcMar>
              <w:top w:w="100" w:type="dxa"/>
              <w:left w:w="150" w:type="dxa"/>
              <w:bottom w:w="100" w:type="dxa"/>
              <w:right w:w="150" w:type="dxa"/>
            </w:tcMar>
          </w:tcPr>
          <w:p w14:paraId="7E7D99C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Mauritius</w:t>
            </w:r>
          </w:p>
        </w:tc>
        <w:tc>
          <w:tcPr>
            <w:tcW w:w="1560" w:type="dxa"/>
            <w:shd w:val="clear" w:color="auto" w:fill="FFFFFF"/>
            <w:tcMar>
              <w:top w:w="100" w:type="dxa"/>
              <w:left w:w="150" w:type="dxa"/>
              <w:bottom w:w="100" w:type="dxa"/>
              <w:right w:w="150" w:type="dxa"/>
            </w:tcMar>
          </w:tcPr>
          <w:p w14:paraId="3381CA7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 Health</w:t>
            </w:r>
          </w:p>
        </w:tc>
        <w:tc>
          <w:tcPr>
            <w:tcW w:w="1560" w:type="dxa"/>
            <w:shd w:val="clear" w:color="auto" w:fill="FFFFFF"/>
            <w:tcMar>
              <w:top w:w="100" w:type="dxa"/>
              <w:left w:w="150" w:type="dxa"/>
              <w:bottom w:w="100" w:type="dxa"/>
              <w:right w:w="150" w:type="dxa"/>
            </w:tcMar>
          </w:tcPr>
          <w:p w14:paraId="154179F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21.676</w:t>
            </w:r>
          </w:p>
        </w:tc>
        <w:tc>
          <w:tcPr>
            <w:tcW w:w="1560" w:type="dxa"/>
            <w:shd w:val="clear" w:color="auto" w:fill="FFFFFF"/>
            <w:tcMar>
              <w:top w:w="100" w:type="dxa"/>
              <w:left w:w="150" w:type="dxa"/>
              <w:bottom w:w="100" w:type="dxa"/>
              <w:right w:w="150" w:type="dxa"/>
            </w:tcMar>
          </w:tcPr>
          <w:p w14:paraId="0BF0FC2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2.59e9</w:t>
            </w:r>
          </w:p>
        </w:tc>
        <w:tc>
          <w:tcPr>
            <w:tcW w:w="1560" w:type="dxa"/>
            <w:shd w:val="clear" w:color="auto" w:fill="FFFFFF"/>
            <w:tcMar>
              <w:top w:w="100" w:type="dxa"/>
              <w:left w:w="150" w:type="dxa"/>
              <w:bottom w:w="100" w:type="dxa"/>
              <w:right w:w="150" w:type="dxa"/>
            </w:tcMar>
          </w:tcPr>
          <w:p w14:paraId="370654F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0.997</w:t>
            </w:r>
          </w:p>
        </w:tc>
        <w:tc>
          <w:tcPr>
            <w:tcW w:w="1560" w:type="dxa"/>
            <w:shd w:val="clear" w:color="auto" w:fill="FFFFFF"/>
            <w:tcMar>
              <w:top w:w="100" w:type="dxa"/>
              <w:left w:w="150" w:type="dxa"/>
              <w:bottom w:w="100" w:type="dxa"/>
              <w:right w:w="150" w:type="dxa"/>
            </w:tcMar>
          </w:tcPr>
          <w:p w14:paraId="08F53CD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Unstable estimate; not substantively interpretable</w:t>
            </w:r>
          </w:p>
        </w:tc>
      </w:tr>
      <w:tr w:rsidR="00791B1B" w:rsidRPr="00791B1B" w14:paraId="45395CB3" w14:textId="77777777">
        <w:trPr>
          <w:jc w:val="center"/>
        </w:trPr>
        <w:tc>
          <w:tcPr>
            <w:tcW w:w="1560" w:type="dxa"/>
            <w:shd w:val="clear" w:color="auto" w:fill="F4F6F9"/>
            <w:tcMar>
              <w:top w:w="100" w:type="dxa"/>
              <w:left w:w="150" w:type="dxa"/>
              <w:bottom w:w="100" w:type="dxa"/>
              <w:right w:w="150" w:type="dxa"/>
            </w:tcMar>
          </w:tcPr>
          <w:p w14:paraId="6E9BDFA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Zimbabwe</w:t>
            </w:r>
          </w:p>
        </w:tc>
        <w:tc>
          <w:tcPr>
            <w:tcW w:w="1560" w:type="dxa"/>
            <w:shd w:val="clear" w:color="auto" w:fill="F4F6F9"/>
            <w:tcMar>
              <w:top w:w="100" w:type="dxa"/>
              <w:left w:w="150" w:type="dxa"/>
              <w:bottom w:w="100" w:type="dxa"/>
              <w:right w:w="150" w:type="dxa"/>
            </w:tcMar>
          </w:tcPr>
          <w:p w14:paraId="6CE12B3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 Health</w:t>
            </w:r>
          </w:p>
        </w:tc>
        <w:tc>
          <w:tcPr>
            <w:tcW w:w="1560" w:type="dxa"/>
            <w:shd w:val="clear" w:color="auto" w:fill="F4F6F9"/>
            <w:tcMar>
              <w:top w:w="100" w:type="dxa"/>
              <w:left w:w="150" w:type="dxa"/>
              <w:bottom w:w="100" w:type="dxa"/>
              <w:right w:w="150" w:type="dxa"/>
            </w:tcMar>
          </w:tcPr>
          <w:p w14:paraId="1544CE4E"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2.342</w:t>
            </w:r>
          </w:p>
        </w:tc>
        <w:tc>
          <w:tcPr>
            <w:tcW w:w="1560" w:type="dxa"/>
            <w:shd w:val="clear" w:color="auto" w:fill="F4F6F9"/>
            <w:tcMar>
              <w:top w:w="100" w:type="dxa"/>
              <w:left w:w="150" w:type="dxa"/>
              <w:bottom w:w="100" w:type="dxa"/>
              <w:right w:w="150" w:type="dxa"/>
            </w:tcMar>
          </w:tcPr>
          <w:p w14:paraId="0BAB45A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10.4</w:t>
            </w:r>
          </w:p>
        </w:tc>
        <w:tc>
          <w:tcPr>
            <w:tcW w:w="1560" w:type="dxa"/>
            <w:shd w:val="clear" w:color="auto" w:fill="F4F6F9"/>
            <w:tcMar>
              <w:top w:w="100" w:type="dxa"/>
              <w:left w:w="150" w:type="dxa"/>
              <w:bottom w:w="100" w:type="dxa"/>
              <w:right w:w="150" w:type="dxa"/>
            </w:tcMar>
          </w:tcPr>
          <w:p w14:paraId="449BDDC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0.0037</w:t>
            </w:r>
          </w:p>
        </w:tc>
        <w:tc>
          <w:tcPr>
            <w:tcW w:w="1560" w:type="dxa"/>
            <w:shd w:val="clear" w:color="auto" w:fill="F4F6F9"/>
            <w:tcMar>
              <w:top w:w="100" w:type="dxa"/>
              <w:left w:w="150" w:type="dxa"/>
              <w:bottom w:w="100" w:type="dxa"/>
              <w:right w:w="150" w:type="dxa"/>
            </w:tcMar>
          </w:tcPr>
          <w:p w14:paraId="2A98DBE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Significant cash-driven cascade</w:t>
            </w:r>
          </w:p>
        </w:tc>
      </w:tr>
      <w:tr w:rsidR="00791B1B" w:rsidRPr="00791B1B" w14:paraId="62EF601E" w14:textId="77777777">
        <w:trPr>
          <w:jc w:val="center"/>
        </w:trPr>
        <w:tc>
          <w:tcPr>
            <w:tcW w:w="1560" w:type="dxa"/>
            <w:shd w:val="clear" w:color="auto" w:fill="FFFFFF"/>
            <w:tcMar>
              <w:top w:w="100" w:type="dxa"/>
              <w:left w:w="150" w:type="dxa"/>
              <w:bottom w:w="100" w:type="dxa"/>
              <w:right w:w="150" w:type="dxa"/>
            </w:tcMar>
          </w:tcPr>
          <w:p w14:paraId="44A61DD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Mauritius</w:t>
            </w:r>
          </w:p>
        </w:tc>
        <w:tc>
          <w:tcPr>
            <w:tcW w:w="1560" w:type="dxa"/>
            <w:shd w:val="clear" w:color="auto" w:fill="FFFFFF"/>
            <w:tcMar>
              <w:top w:w="100" w:type="dxa"/>
              <w:left w:w="150" w:type="dxa"/>
              <w:bottom w:w="100" w:type="dxa"/>
              <w:right w:w="150" w:type="dxa"/>
            </w:tcMar>
          </w:tcPr>
          <w:p w14:paraId="33D285C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 Water</w:t>
            </w:r>
          </w:p>
        </w:tc>
        <w:tc>
          <w:tcPr>
            <w:tcW w:w="1560" w:type="dxa"/>
            <w:shd w:val="clear" w:color="auto" w:fill="FFFFFF"/>
            <w:tcMar>
              <w:top w:w="100" w:type="dxa"/>
              <w:left w:w="150" w:type="dxa"/>
              <w:bottom w:w="100" w:type="dxa"/>
              <w:right w:w="150" w:type="dxa"/>
            </w:tcMar>
          </w:tcPr>
          <w:p w14:paraId="2E6345F7"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3.382</w:t>
            </w:r>
          </w:p>
        </w:tc>
        <w:tc>
          <w:tcPr>
            <w:tcW w:w="1560" w:type="dxa"/>
            <w:shd w:val="clear" w:color="auto" w:fill="FFFFFF"/>
            <w:tcMar>
              <w:top w:w="100" w:type="dxa"/>
              <w:left w:w="150" w:type="dxa"/>
              <w:bottom w:w="100" w:type="dxa"/>
              <w:right w:w="150" w:type="dxa"/>
            </w:tcMar>
          </w:tcPr>
          <w:p w14:paraId="317FD55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29.4</w:t>
            </w:r>
          </w:p>
        </w:tc>
        <w:tc>
          <w:tcPr>
            <w:tcW w:w="1560" w:type="dxa"/>
            <w:shd w:val="clear" w:color="auto" w:fill="FFFFFF"/>
            <w:tcMar>
              <w:top w:w="100" w:type="dxa"/>
              <w:left w:w="150" w:type="dxa"/>
              <w:bottom w:w="100" w:type="dxa"/>
              <w:right w:w="150" w:type="dxa"/>
            </w:tcMar>
          </w:tcPr>
          <w:p w14:paraId="1027744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0.00099</w:t>
            </w:r>
          </w:p>
        </w:tc>
        <w:tc>
          <w:tcPr>
            <w:tcW w:w="1560" w:type="dxa"/>
            <w:shd w:val="clear" w:color="auto" w:fill="FFFFFF"/>
            <w:tcMar>
              <w:top w:w="100" w:type="dxa"/>
              <w:left w:w="150" w:type="dxa"/>
              <w:bottom w:w="100" w:type="dxa"/>
              <w:right w:w="150" w:type="dxa"/>
            </w:tcMar>
          </w:tcPr>
          <w:p w14:paraId="54A5425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Significant water vulnerability</w:t>
            </w:r>
          </w:p>
        </w:tc>
      </w:tr>
      <w:tr w:rsidR="00791B1B" w:rsidRPr="00791B1B" w14:paraId="03A88FA7" w14:textId="77777777">
        <w:trPr>
          <w:jc w:val="center"/>
        </w:trPr>
        <w:tc>
          <w:tcPr>
            <w:tcW w:w="1560" w:type="dxa"/>
            <w:shd w:val="clear" w:color="auto" w:fill="F4F6F9"/>
            <w:tcMar>
              <w:top w:w="100" w:type="dxa"/>
              <w:left w:w="150" w:type="dxa"/>
              <w:bottom w:w="100" w:type="dxa"/>
              <w:right w:w="150" w:type="dxa"/>
            </w:tcMar>
          </w:tcPr>
          <w:p w14:paraId="14474E8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Zimbabwe</w:t>
            </w:r>
          </w:p>
        </w:tc>
        <w:tc>
          <w:tcPr>
            <w:tcW w:w="1560" w:type="dxa"/>
            <w:shd w:val="clear" w:color="auto" w:fill="F4F6F9"/>
            <w:tcMar>
              <w:top w:w="100" w:type="dxa"/>
              <w:left w:w="150" w:type="dxa"/>
              <w:bottom w:w="100" w:type="dxa"/>
              <w:right w:w="150" w:type="dxa"/>
            </w:tcMar>
          </w:tcPr>
          <w:p w14:paraId="0E9CF6B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 Water</w:t>
            </w:r>
          </w:p>
        </w:tc>
        <w:tc>
          <w:tcPr>
            <w:tcW w:w="1560" w:type="dxa"/>
            <w:shd w:val="clear" w:color="auto" w:fill="F4F6F9"/>
            <w:tcMar>
              <w:top w:w="100" w:type="dxa"/>
              <w:left w:w="150" w:type="dxa"/>
              <w:bottom w:w="100" w:type="dxa"/>
              <w:right w:w="150" w:type="dxa"/>
            </w:tcMar>
          </w:tcPr>
          <w:p w14:paraId="36B10074"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2.467</w:t>
            </w:r>
          </w:p>
        </w:tc>
        <w:tc>
          <w:tcPr>
            <w:tcW w:w="1560" w:type="dxa"/>
            <w:shd w:val="clear" w:color="auto" w:fill="F4F6F9"/>
            <w:tcMar>
              <w:top w:w="100" w:type="dxa"/>
              <w:left w:w="150" w:type="dxa"/>
              <w:bottom w:w="100" w:type="dxa"/>
              <w:right w:w="150" w:type="dxa"/>
            </w:tcMar>
          </w:tcPr>
          <w:p w14:paraId="3F6B2A4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11.8</w:t>
            </w:r>
          </w:p>
        </w:tc>
        <w:tc>
          <w:tcPr>
            <w:tcW w:w="1560" w:type="dxa"/>
            <w:shd w:val="clear" w:color="auto" w:fill="F4F6F9"/>
            <w:tcMar>
              <w:top w:w="100" w:type="dxa"/>
              <w:left w:w="150" w:type="dxa"/>
              <w:bottom w:w="100" w:type="dxa"/>
              <w:right w:w="150" w:type="dxa"/>
            </w:tcMar>
          </w:tcPr>
          <w:p w14:paraId="0D427C6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0.000654</w:t>
            </w:r>
          </w:p>
        </w:tc>
        <w:tc>
          <w:tcPr>
            <w:tcW w:w="1560" w:type="dxa"/>
            <w:shd w:val="clear" w:color="auto" w:fill="F4F6F9"/>
            <w:tcMar>
              <w:top w:w="100" w:type="dxa"/>
              <w:left w:w="150" w:type="dxa"/>
              <w:bottom w:w="100" w:type="dxa"/>
              <w:right w:w="150" w:type="dxa"/>
            </w:tcMar>
          </w:tcPr>
          <w:p w14:paraId="4AAA55C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Significant cash-driven cascade</w:t>
            </w:r>
          </w:p>
        </w:tc>
      </w:tr>
      <w:tr w:rsidR="00791B1B" w:rsidRPr="00791B1B" w14:paraId="1D81C714" w14:textId="77777777">
        <w:trPr>
          <w:jc w:val="center"/>
        </w:trPr>
        <w:tc>
          <w:tcPr>
            <w:tcW w:w="1560" w:type="dxa"/>
            <w:shd w:val="clear" w:color="auto" w:fill="FFFFFF"/>
            <w:tcMar>
              <w:top w:w="100" w:type="dxa"/>
              <w:left w:w="150" w:type="dxa"/>
              <w:bottom w:w="100" w:type="dxa"/>
              <w:right w:w="150" w:type="dxa"/>
            </w:tcMar>
          </w:tcPr>
          <w:p w14:paraId="749BB88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Mauritius</w:t>
            </w:r>
          </w:p>
        </w:tc>
        <w:tc>
          <w:tcPr>
            <w:tcW w:w="1560" w:type="dxa"/>
            <w:shd w:val="clear" w:color="auto" w:fill="FFFFFF"/>
            <w:tcMar>
              <w:top w:w="100" w:type="dxa"/>
              <w:left w:w="150" w:type="dxa"/>
              <w:bottom w:w="100" w:type="dxa"/>
              <w:right w:w="150" w:type="dxa"/>
            </w:tcMar>
          </w:tcPr>
          <w:p w14:paraId="1503227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 Electricity/Fuel</w:t>
            </w:r>
          </w:p>
        </w:tc>
        <w:tc>
          <w:tcPr>
            <w:tcW w:w="1560" w:type="dxa"/>
            <w:shd w:val="clear" w:color="auto" w:fill="FFFFFF"/>
            <w:tcMar>
              <w:top w:w="100" w:type="dxa"/>
              <w:left w:w="150" w:type="dxa"/>
              <w:bottom w:w="100" w:type="dxa"/>
              <w:right w:w="150" w:type="dxa"/>
            </w:tcMar>
          </w:tcPr>
          <w:p w14:paraId="344DAF7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21.522</w:t>
            </w:r>
          </w:p>
        </w:tc>
        <w:tc>
          <w:tcPr>
            <w:tcW w:w="1560" w:type="dxa"/>
            <w:shd w:val="clear" w:color="auto" w:fill="FFFFFF"/>
            <w:tcMar>
              <w:top w:w="100" w:type="dxa"/>
              <w:left w:w="150" w:type="dxa"/>
              <w:bottom w:w="100" w:type="dxa"/>
              <w:right w:w="150" w:type="dxa"/>
            </w:tcMar>
          </w:tcPr>
          <w:p w14:paraId="2350E3E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2.22e9</w:t>
            </w:r>
          </w:p>
        </w:tc>
        <w:tc>
          <w:tcPr>
            <w:tcW w:w="1560" w:type="dxa"/>
            <w:shd w:val="clear" w:color="auto" w:fill="FFFFFF"/>
            <w:tcMar>
              <w:top w:w="100" w:type="dxa"/>
              <w:left w:w="150" w:type="dxa"/>
              <w:bottom w:w="100" w:type="dxa"/>
              <w:right w:w="150" w:type="dxa"/>
            </w:tcMar>
          </w:tcPr>
          <w:p w14:paraId="714340C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0.997</w:t>
            </w:r>
          </w:p>
        </w:tc>
        <w:tc>
          <w:tcPr>
            <w:tcW w:w="1560" w:type="dxa"/>
            <w:shd w:val="clear" w:color="auto" w:fill="FFFFFF"/>
            <w:tcMar>
              <w:top w:w="100" w:type="dxa"/>
              <w:left w:w="150" w:type="dxa"/>
              <w:bottom w:w="100" w:type="dxa"/>
              <w:right w:w="150" w:type="dxa"/>
            </w:tcMar>
          </w:tcPr>
          <w:p w14:paraId="3C18C67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Unstable estimate; not substantively interpretable</w:t>
            </w:r>
          </w:p>
        </w:tc>
      </w:tr>
      <w:tr w:rsidR="00791B1B" w:rsidRPr="00791B1B" w14:paraId="0684DB65" w14:textId="77777777">
        <w:trPr>
          <w:jc w:val="center"/>
        </w:trPr>
        <w:tc>
          <w:tcPr>
            <w:tcW w:w="1560" w:type="dxa"/>
            <w:shd w:val="clear" w:color="auto" w:fill="F4F6F9"/>
            <w:tcMar>
              <w:top w:w="100" w:type="dxa"/>
              <w:left w:w="150" w:type="dxa"/>
              <w:bottom w:w="100" w:type="dxa"/>
              <w:right w:w="150" w:type="dxa"/>
            </w:tcMar>
          </w:tcPr>
          <w:p w14:paraId="16BEFE9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Zimbabwe</w:t>
            </w:r>
          </w:p>
        </w:tc>
        <w:tc>
          <w:tcPr>
            <w:tcW w:w="1560" w:type="dxa"/>
            <w:shd w:val="clear" w:color="auto" w:fill="F4F6F9"/>
            <w:tcMar>
              <w:top w:w="100" w:type="dxa"/>
              <w:left w:w="150" w:type="dxa"/>
              <w:bottom w:w="100" w:type="dxa"/>
              <w:right w:w="150" w:type="dxa"/>
            </w:tcMar>
          </w:tcPr>
          <w:p w14:paraId="3838D24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Cash → Electricity/Fuel</w:t>
            </w:r>
          </w:p>
        </w:tc>
        <w:tc>
          <w:tcPr>
            <w:tcW w:w="1560" w:type="dxa"/>
            <w:shd w:val="clear" w:color="auto" w:fill="F4F6F9"/>
            <w:tcMar>
              <w:top w:w="100" w:type="dxa"/>
              <w:left w:w="150" w:type="dxa"/>
              <w:bottom w:w="100" w:type="dxa"/>
              <w:right w:w="150" w:type="dxa"/>
            </w:tcMar>
          </w:tcPr>
          <w:p w14:paraId="76E799D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3.477</w:t>
            </w:r>
          </w:p>
        </w:tc>
        <w:tc>
          <w:tcPr>
            <w:tcW w:w="1560" w:type="dxa"/>
            <w:shd w:val="clear" w:color="auto" w:fill="F4F6F9"/>
            <w:tcMar>
              <w:top w:w="100" w:type="dxa"/>
              <w:left w:w="150" w:type="dxa"/>
              <w:bottom w:w="100" w:type="dxa"/>
              <w:right w:w="150" w:type="dxa"/>
            </w:tcMar>
          </w:tcPr>
          <w:p w14:paraId="2E06128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32.4</w:t>
            </w:r>
          </w:p>
        </w:tc>
        <w:tc>
          <w:tcPr>
            <w:tcW w:w="1560" w:type="dxa"/>
            <w:shd w:val="clear" w:color="auto" w:fill="F4F6F9"/>
            <w:tcMar>
              <w:top w:w="100" w:type="dxa"/>
              <w:left w:w="150" w:type="dxa"/>
              <w:bottom w:w="100" w:type="dxa"/>
              <w:right w:w="150" w:type="dxa"/>
            </w:tcMar>
          </w:tcPr>
          <w:p w14:paraId="3A0229F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0.00593</w:t>
            </w:r>
          </w:p>
        </w:tc>
        <w:tc>
          <w:tcPr>
            <w:tcW w:w="1560" w:type="dxa"/>
            <w:shd w:val="clear" w:color="auto" w:fill="F4F6F9"/>
            <w:tcMar>
              <w:top w:w="100" w:type="dxa"/>
              <w:left w:w="150" w:type="dxa"/>
              <w:bottom w:w="100" w:type="dxa"/>
              <w:right w:w="150" w:type="dxa"/>
            </w:tcMar>
          </w:tcPr>
          <w:p w14:paraId="001025C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Significant cash-driven cascade</w:t>
            </w:r>
          </w:p>
        </w:tc>
      </w:tr>
    </w:tbl>
    <w:p w14:paraId="31E15E5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results provide partial support for the Governance Frontier Hypothesis. Zimbabwe shows a clear and consistent pattern of cash-driven service cascades. Cash Access Mismatch significantly increases the odds of Health Clinic Mismatch by approximately 10.4 times (β = 2.342, p = 0.0037), Water Mismatch by 11.8 times (β = 2.467, p = 0.000654), and Electricity/Fuel Mismatch by 32.4 times (β = 3.477, p = 0.00593). These findings suggest that in a more fragile service-delivery environment, financial exclusion is strongly associated with failures across multiple public-service sectors.</w:t>
      </w:r>
    </w:p>
    <w:p w14:paraId="2DED6DB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lastRenderedPageBreak/>
        <w:t>Mauritius presents a more complex pattern. The Cash → Water pathway is statistically significant and large (β = 3.382, OR = 29.4, p = 0.00099), indicating that even in a comparatively stronger governance context, water systems remain vulnerable to cash-related failure. This result is important because it shows that higher national capacity does not fully eliminate infrastructure fragility.</w:t>
      </w:r>
    </w:p>
    <w:p w14:paraId="0896F700"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But the Mauritius Cash → Health and Cash → Electricity/Fuel models produce extremely large coefficients and odds ratios but non-significant p-values. The Cash → Health coefficient is 21.676 with an odds ratio of approximately 2.59 billion, but the p-value is 0.997. Similarly, the Cash → Electricity/Fuel coefficient is 21.522 with an odds ratio of approximately 2.22 billion, but the p-value is also 0.997. These values should not be interpreted as real substantive effects. Instead, they likely reflect quasi-complete separation, which occurs in logistic regression when there are too few cases in one outcome category or when one predictor almost perfectly separates the outcome. In practical terms, severe mismatch cases are rare in Mauritius, making it difficult for the model to estimate stable coefficients for some pathways.</w:t>
      </w:r>
    </w:p>
    <w:p w14:paraId="228E759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This distinction is important. The very large Mauritian coefficients do not mean that cash failure increases health or electricity/fuel failure by billions of times. Rather, they indicate that the data structure is too sparse for those particular country-specific models to produce reliable estimates. Therefore, the correct interpretation is not that Mauritius has enormous cascades, but that the health and electricity/fuel models are statistically unstable because severe failures are uncommon in that setting.</w:t>
      </w:r>
    </w:p>
    <w:p w14:paraId="4E4223B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Overall, the Governance Frontier Hypothesis is partially supported. Zimbabwe shows clear, significant, and interpretable cash-driven cascades across all three outcomes. Mauritius appears more protected in the Health and Electricity/Fuel models because severe mismatch cases are too rare for stable estimation, but the significant Cash → Water result shows that even stronger governance contexts may remain vulnerable in critical infrastructure systems. This suggests that governance capacity can reduce the frequency and observability of cascading failures, but it does not completely remove the risk of service breakdown.</w:t>
      </w:r>
    </w:p>
    <w:p w14:paraId="5A60A846" w14:textId="77777777" w:rsidR="00A333C3" w:rsidRPr="00791B1B" w:rsidRDefault="00000000">
      <w:pPr>
        <w:keepNext/>
        <w:spacing w:before="280" w:after="80"/>
        <w:rPr>
          <w:rFonts w:ascii="Times New Roman" w:hAnsi="Times New Roman" w:cs="Times New Roman"/>
          <w:color w:val="000000" w:themeColor="text1"/>
          <w:sz w:val="24"/>
          <w:szCs w:val="24"/>
        </w:rPr>
      </w:pPr>
      <w:r w:rsidRPr="00091DB3">
        <w:rPr>
          <w:rFonts w:ascii="Times New Roman" w:hAnsi="Times New Roman" w:cs="Times New Roman"/>
          <w:b/>
          <w:color w:val="000000" w:themeColor="text1"/>
          <w:sz w:val="28"/>
          <w:szCs w:val="28"/>
        </w:rPr>
        <w:t>5.7 Service Synergy and Priority under Resource Constraints (H8)</w:t>
      </w:r>
    </w:p>
    <w:p w14:paraId="4924773F" w14:textId="77777777" w:rsidR="00A333C3" w:rsidRPr="00791B1B" w:rsidRDefault="00000000">
      <w:pPr>
        <w:keepNext/>
        <w:spacing w:before="200" w:after="40"/>
        <w:rPr>
          <w:rFonts w:ascii="Times New Roman" w:hAnsi="Times New Roman" w:cs="Times New Roman"/>
          <w:color w:val="000000" w:themeColor="text1"/>
          <w:sz w:val="24"/>
          <w:szCs w:val="24"/>
        </w:rPr>
      </w:pPr>
      <w:r w:rsidRPr="00791B1B">
        <w:rPr>
          <w:rFonts w:ascii="Times New Roman" w:hAnsi="Times New Roman" w:cs="Times New Roman"/>
          <w:b/>
          <w:i/>
          <w:color w:val="000000" w:themeColor="text1"/>
          <w:sz w:val="24"/>
          <w:szCs w:val="24"/>
        </w:rPr>
        <w:t>Hypothesis 8: Service Synergy and Priority Hypothesis</w:t>
      </w:r>
    </w:p>
    <w:p w14:paraId="16FF825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Hypothesis 8 proposes that public services may work better as an integrated package than as isolated interventions. It also tests which visible service has the strongest overall association with reducing multiple severe shortages when governments face limited resources.</w:t>
      </w:r>
    </w:p>
    <w:p w14:paraId="6338A80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The previous models examined how failures spread once severe mismatches occur. The final regression stage shifts from failure transmission to policy prioritization. This distinction is important because the service that best prevents shortages is not necessarily the same service that transmits failures once the system breaks down. In earlier models, Cash Access Mismatch and Health Clinic Mismatch emerged as important cascade nodes. However, the priority analysis </w:t>
      </w:r>
      <w:r w:rsidRPr="00791B1B">
        <w:rPr>
          <w:rFonts w:ascii="Times New Roman" w:hAnsi="Times New Roman" w:cs="Times New Roman"/>
          <w:color w:val="000000" w:themeColor="text1"/>
          <w:sz w:val="24"/>
          <w:szCs w:val="24"/>
        </w:rPr>
        <w:lastRenderedPageBreak/>
        <w:t>asks a different question: which visible service is most strongly associated with reducing the overall burden of severe shortages?</w:t>
      </w:r>
    </w:p>
    <w:p w14:paraId="0F9440D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Two models were estimated. First, a four-way interaction model tested whether the full package of piped water, health clinics, electricity grids, and money services produces a combined effect beyond the individual service effects. Second, a Poisson count model estimated whether each service reduces the total number of severe shortages experienced by respondents.</w:t>
      </w:r>
    </w:p>
    <w:p w14:paraId="45880F1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A representative Poisson model is shown below.</w:t>
      </w:r>
    </w:p>
    <w:p w14:paraId="0FB875F3" w14:textId="77777777" w:rsidR="00A333C3" w:rsidRPr="00791B1B" w:rsidRDefault="00000000">
      <w:pPr>
        <w:spacing w:before="120"/>
        <w:ind w:left="720"/>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 xml:space="preserve">model_shortage_count_poisson &lt;- </w:t>
      </w:r>
      <w:proofErr w:type="gramStart"/>
      <w:r w:rsidRPr="00791B1B">
        <w:rPr>
          <w:rFonts w:ascii="Times New Roman" w:hAnsi="Times New Roman" w:cs="Times New Roman"/>
          <w:color w:val="000000" w:themeColor="text1"/>
          <w:sz w:val="24"/>
          <w:szCs w:val="24"/>
        </w:rPr>
        <w:t>glm(</w:t>
      </w:r>
      <w:proofErr w:type="gramEnd"/>
      <w:r w:rsidRPr="00791B1B">
        <w:rPr>
          <w:rFonts w:ascii="Times New Roman" w:hAnsi="Times New Roman" w:cs="Times New Roman"/>
          <w:color w:val="000000" w:themeColor="text1"/>
          <w:sz w:val="24"/>
          <w:szCs w:val="24"/>
        </w:rPr>
        <w:br/>
        <w:t xml:space="preserve">  severe_shortage_count ~</w:t>
      </w:r>
      <w:r w:rsidRPr="00791B1B">
        <w:rPr>
          <w:rFonts w:ascii="Times New Roman" w:hAnsi="Times New Roman" w:cs="Times New Roman"/>
          <w:color w:val="000000" w:themeColor="text1"/>
          <w:sz w:val="24"/>
          <w:szCs w:val="24"/>
        </w:rPr>
        <w:br/>
        <w:t xml:space="preserve">    piped_water_present +</w:t>
      </w:r>
      <w:r w:rsidRPr="00791B1B">
        <w:rPr>
          <w:rFonts w:ascii="Times New Roman" w:hAnsi="Times New Roman" w:cs="Times New Roman"/>
          <w:color w:val="000000" w:themeColor="text1"/>
          <w:sz w:val="24"/>
          <w:szCs w:val="24"/>
        </w:rPr>
        <w:br/>
        <w:t xml:space="preserve">    health_clinic_present +</w:t>
      </w:r>
      <w:r w:rsidRPr="00791B1B">
        <w:rPr>
          <w:rFonts w:ascii="Times New Roman" w:hAnsi="Times New Roman" w:cs="Times New Roman"/>
          <w:color w:val="000000" w:themeColor="text1"/>
          <w:sz w:val="24"/>
          <w:szCs w:val="24"/>
        </w:rPr>
        <w:br/>
        <w:t xml:space="preserve">    electricity_grid_present +</w:t>
      </w:r>
      <w:r w:rsidRPr="00791B1B">
        <w:rPr>
          <w:rFonts w:ascii="Times New Roman" w:hAnsi="Times New Roman" w:cs="Times New Roman"/>
          <w:color w:val="000000" w:themeColor="text1"/>
          <w:sz w:val="24"/>
          <w:szCs w:val="24"/>
        </w:rPr>
        <w:br/>
        <w:t xml:space="preserve">    money_services_present +</w:t>
      </w:r>
      <w:r w:rsidRPr="00791B1B">
        <w:rPr>
          <w:rFonts w:ascii="Times New Roman" w:hAnsi="Times New Roman" w:cs="Times New Roman"/>
          <w:color w:val="000000" w:themeColor="text1"/>
          <w:sz w:val="24"/>
          <w:szCs w:val="24"/>
        </w:rPr>
        <w:br/>
        <w:t xml:space="preserve">    location_type +</w:t>
      </w:r>
      <w:r w:rsidRPr="00791B1B">
        <w:rPr>
          <w:rFonts w:ascii="Times New Roman" w:hAnsi="Times New Roman" w:cs="Times New Roman"/>
          <w:color w:val="000000" w:themeColor="text1"/>
          <w:sz w:val="24"/>
          <w:szCs w:val="24"/>
        </w:rPr>
        <w:br/>
        <w:t xml:space="preserve">    country_name,</w:t>
      </w:r>
      <w:r w:rsidRPr="00791B1B">
        <w:rPr>
          <w:rFonts w:ascii="Times New Roman" w:hAnsi="Times New Roman" w:cs="Times New Roman"/>
          <w:color w:val="000000" w:themeColor="text1"/>
          <w:sz w:val="24"/>
          <w:szCs w:val="24"/>
        </w:rPr>
        <w:br/>
        <w:t xml:space="preserve">  data = reg_data,</w:t>
      </w:r>
      <w:r w:rsidRPr="00791B1B">
        <w:rPr>
          <w:rFonts w:ascii="Times New Roman" w:hAnsi="Times New Roman" w:cs="Times New Roman"/>
          <w:color w:val="000000" w:themeColor="text1"/>
          <w:sz w:val="24"/>
          <w:szCs w:val="24"/>
        </w:rPr>
        <w:br/>
        <w:t xml:space="preserve">  family = poisson</w:t>
      </w:r>
      <w:r w:rsidRPr="00791B1B">
        <w:rPr>
          <w:rFonts w:ascii="Times New Roman" w:hAnsi="Times New Roman" w:cs="Times New Roman"/>
          <w:color w:val="000000" w:themeColor="text1"/>
          <w:sz w:val="24"/>
          <w:szCs w:val="24"/>
        </w:rPr>
        <w:br/>
        <w:t>)</w:t>
      </w:r>
    </w:p>
    <w:p w14:paraId="3291976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regression results are summarized in Table 5.6.</w:t>
      </w:r>
    </w:p>
    <w:p w14:paraId="166A7076" w14:textId="77777777" w:rsidR="00A333C3" w:rsidRPr="00791B1B" w:rsidRDefault="00000000">
      <w:pPr>
        <w:keepNext/>
        <w:spacing w:before="240" w:after="80"/>
        <w:rPr>
          <w:rFonts w:ascii="Times New Roman" w:hAnsi="Times New Roman" w:cs="Times New Roman"/>
          <w:color w:val="000000" w:themeColor="text1"/>
          <w:sz w:val="24"/>
          <w:szCs w:val="24"/>
        </w:rPr>
      </w:pPr>
      <w:r w:rsidRPr="00791B1B">
        <w:rPr>
          <w:rFonts w:ascii="Times New Roman" w:hAnsi="Times New Roman" w:cs="Times New Roman"/>
          <w:b/>
          <w:color w:val="000000" w:themeColor="text1"/>
          <w:sz w:val="24"/>
          <w:szCs w:val="24"/>
        </w:rPr>
        <w:t>Table 5.6. Service Synergy and Priority Models</w:t>
      </w:r>
    </w:p>
    <w:tbl>
      <w:tblPr>
        <w:tblW w:w="0" w:type="auto"/>
        <w:jc w:val="center"/>
        <w:tblBorders>
          <w:top w:val="single" w:sz="4" w:space="0" w:color="D3D3D3"/>
          <w:bottom w:val="single" w:sz="8" w:space="0" w:color="1B365D"/>
          <w:insideH w:val="single" w:sz="4" w:space="0" w:color="E0E0E0"/>
        </w:tblBorders>
        <w:tblLook w:val="04A0" w:firstRow="1" w:lastRow="0" w:firstColumn="1" w:lastColumn="0" w:noHBand="0" w:noVBand="1"/>
      </w:tblPr>
      <w:tblGrid>
        <w:gridCol w:w="2340"/>
        <w:gridCol w:w="2340"/>
        <w:gridCol w:w="2340"/>
        <w:gridCol w:w="2340"/>
      </w:tblGrid>
      <w:tr w:rsidR="00791B1B" w:rsidRPr="00791B1B" w14:paraId="155BC9F6" w14:textId="77777777">
        <w:trPr>
          <w:jc w:val="center"/>
        </w:trPr>
        <w:tc>
          <w:tcPr>
            <w:tcW w:w="2340" w:type="dxa"/>
            <w:shd w:val="clear" w:color="auto" w:fill="1B365D"/>
            <w:tcMar>
              <w:top w:w="120" w:type="dxa"/>
              <w:left w:w="150" w:type="dxa"/>
              <w:bottom w:w="120" w:type="dxa"/>
              <w:right w:w="150" w:type="dxa"/>
            </w:tcMar>
          </w:tcPr>
          <w:p w14:paraId="0C692621"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Model component</w:t>
            </w:r>
          </w:p>
        </w:tc>
        <w:tc>
          <w:tcPr>
            <w:tcW w:w="2340" w:type="dxa"/>
            <w:shd w:val="clear" w:color="auto" w:fill="1B365D"/>
            <w:tcMar>
              <w:top w:w="120" w:type="dxa"/>
              <w:left w:w="150" w:type="dxa"/>
              <w:bottom w:w="120" w:type="dxa"/>
              <w:right w:w="150" w:type="dxa"/>
            </w:tcMar>
          </w:tcPr>
          <w:p w14:paraId="38E86980"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Result</w:t>
            </w:r>
          </w:p>
        </w:tc>
        <w:tc>
          <w:tcPr>
            <w:tcW w:w="2340" w:type="dxa"/>
            <w:shd w:val="clear" w:color="auto" w:fill="1B365D"/>
            <w:tcMar>
              <w:top w:w="120" w:type="dxa"/>
              <w:left w:w="150" w:type="dxa"/>
              <w:bottom w:w="120" w:type="dxa"/>
              <w:right w:w="150" w:type="dxa"/>
            </w:tcMar>
          </w:tcPr>
          <w:p w14:paraId="47241F1A"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p-value</w:t>
            </w:r>
          </w:p>
        </w:tc>
        <w:tc>
          <w:tcPr>
            <w:tcW w:w="2340" w:type="dxa"/>
            <w:shd w:val="clear" w:color="auto" w:fill="1B365D"/>
            <w:tcMar>
              <w:top w:w="120" w:type="dxa"/>
              <w:left w:w="150" w:type="dxa"/>
              <w:bottom w:w="120" w:type="dxa"/>
              <w:right w:w="150" w:type="dxa"/>
            </w:tcMar>
          </w:tcPr>
          <w:p w14:paraId="4FCA0CD9" w14:textId="77777777" w:rsidR="00A333C3" w:rsidRPr="00791B1B" w:rsidRDefault="00000000">
            <w:pPr>
              <w:rPr>
                <w:rFonts w:ascii="Times New Roman" w:hAnsi="Times New Roman" w:cs="Times New Roman"/>
                <w:color w:val="FFFFFF" w:themeColor="background1"/>
                <w:sz w:val="24"/>
                <w:szCs w:val="24"/>
              </w:rPr>
            </w:pPr>
            <w:r w:rsidRPr="00791B1B">
              <w:rPr>
                <w:rFonts w:ascii="Times New Roman" w:hAnsi="Times New Roman" w:cs="Times New Roman"/>
                <w:b/>
                <w:color w:val="FFFFFF" w:themeColor="background1"/>
                <w:sz w:val="24"/>
                <w:szCs w:val="24"/>
              </w:rPr>
              <w:t>Interpretation</w:t>
            </w:r>
          </w:p>
        </w:tc>
      </w:tr>
      <w:tr w:rsidR="00791B1B" w:rsidRPr="00791B1B" w14:paraId="2D09D10C" w14:textId="77777777">
        <w:trPr>
          <w:jc w:val="center"/>
        </w:trPr>
        <w:tc>
          <w:tcPr>
            <w:tcW w:w="2340" w:type="dxa"/>
            <w:shd w:val="clear" w:color="auto" w:fill="FFFFFF"/>
            <w:tcMar>
              <w:top w:w="100" w:type="dxa"/>
              <w:left w:w="150" w:type="dxa"/>
              <w:bottom w:w="100" w:type="dxa"/>
              <w:right w:w="150" w:type="dxa"/>
            </w:tcMar>
          </w:tcPr>
          <w:p w14:paraId="7D5F8FC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Four-service interaction</w:t>
            </w:r>
          </w:p>
        </w:tc>
        <w:tc>
          <w:tcPr>
            <w:tcW w:w="2340" w:type="dxa"/>
            <w:shd w:val="clear" w:color="auto" w:fill="FFFFFF"/>
            <w:tcMar>
              <w:top w:w="100" w:type="dxa"/>
              <w:left w:w="150" w:type="dxa"/>
              <w:bottom w:w="100" w:type="dxa"/>
              <w:right w:w="150" w:type="dxa"/>
            </w:tcMar>
          </w:tcPr>
          <w:p w14:paraId="561B7B9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β = -1.264</w:t>
            </w:r>
          </w:p>
        </w:tc>
        <w:tc>
          <w:tcPr>
            <w:tcW w:w="2340" w:type="dxa"/>
            <w:shd w:val="clear" w:color="auto" w:fill="FFFFFF"/>
            <w:tcMar>
              <w:top w:w="100" w:type="dxa"/>
              <w:left w:w="150" w:type="dxa"/>
              <w:bottom w:w="100" w:type="dxa"/>
              <w:right w:w="150" w:type="dxa"/>
            </w:tcMar>
          </w:tcPr>
          <w:p w14:paraId="77622A6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0.137</w:t>
            </w:r>
          </w:p>
        </w:tc>
        <w:tc>
          <w:tcPr>
            <w:tcW w:w="2340" w:type="dxa"/>
            <w:shd w:val="clear" w:color="auto" w:fill="FFFFFF"/>
            <w:tcMar>
              <w:top w:w="100" w:type="dxa"/>
              <w:left w:w="150" w:type="dxa"/>
              <w:bottom w:w="100" w:type="dxa"/>
              <w:right w:w="150" w:type="dxa"/>
            </w:tcMar>
          </w:tcPr>
          <w:p w14:paraId="0C016845"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Negative but not statistically significant</w:t>
            </w:r>
          </w:p>
        </w:tc>
      </w:tr>
      <w:tr w:rsidR="00791B1B" w:rsidRPr="00791B1B" w14:paraId="71D52373" w14:textId="77777777">
        <w:trPr>
          <w:jc w:val="center"/>
        </w:trPr>
        <w:tc>
          <w:tcPr>
            <w:tcW w:w="2340" w:type="dxa"/>
            <w:shd w:val="clear" w:color="auto" w:fill="F4F6F9"/>
            <w:tcMar>
              <w:top w:w="100" w:type="dxa"/>
              <w:left w:w="150" w:type="dxa"/>
              <w:bottom w:w="100" w:type="dxa"/>
              <w:right w:w="150" w:type="dxa"/>
            </w:tcMar>
          </w:tcPr>
          <w:p w14:paraId="6CA572C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Piped water</w:t>
            </w:r>
          </w:p>
        </w:tc>
        <w:tc>
          <w:tcPr>
            <w:tcW w:w="2340" w:type="dxa"/>
            <w:shd w:val="clear" w:color="auto" w:fill="F4F6F9"/>
            <w:tcMar>
              <w:top w:w="100" w:type="dxa"/>
              <w:left w:w="150" w:type="dxa"/>
              <w:bottom w:w="100" w:type="dxa"/>
              <w:right w:w="150" w:type="dxa"/>
            </w:tcMar>
          </w:tcPr>
          <w:p w14:paraId="2230353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IRR = 0.728</w:t>
            </w:r>
          </w:p>
        </w:tc>
        <w:tc>
          <w:tcPr>
            <w:tcW w:w="2340" w:type="dxa"/>
            <w:shd w:val="clear" w:color="auto" w:fill="F4F6F9"/>
            <w:tcMar>
              <w:top w:w="100" w:type="dxa"/>
              <w:left w:w="150" w:type="dxa"/>
              <w:bottom w:w="100" w:type="dxa"/>
              <w:right w:w="150" w:type="dxa"/>
            </w:tcMar>
          </w:tcPr>
          <w:p w14:paraId="2E75AC56"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c>
          <w:tcPr>
            <w:tcW w:w="2340" w:type="dxa"/>
            <w:shd w:val="clear" w:color="auto" w:fill="F4F6F9"/>
            <w:tcMar>
              <w:top w:w="100" w:type="dxa"/>
              <w:left w:w="150" w:type="dxa"/>
              <w:bottom w:w="100" w:type="dxa"/>
              <w:right w:w="150" w:type="dxa"/>
            </w:tcMar>
          </w:tcPr>
          <w:p w14:paraId="73612BAB"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Strongest association with fewer severe shortages</w:t>
            </w:r>
          </w:p>
        </w:tc>
      </w:tr>
      <w:tr w:rsidR="00791B1B" w:rsidRPr="00791B1B" w14:paraId="4D067738" w14:textId="77777777">
        <w:trPr>
          <w:jc w:val="center"/>
        </w:trPr>
        <w:tc>
          <w:tcPr>
            <w:tcW w:w="2340" w:type="dxa"/>
            <w:shd w:val="clear" w:color="auto" w:fill="FFFFFF"/>
            <w:tcMar>
              <w:top w:w="100" w:type="dxa"/>
              <w:left w:w="150" w:type="dxa"/>
              <w:bottom w:w="100" w:type="dxa"/>
              <w:right w:w="150" w:type="dxa"/>
            </w:tcMar>
          </w:tcPr>
          <w:p w14:paraId="18BDD503"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 grid</w:t>
            </w:r>
          </w:p>
        </w:tc>
        <w:tc>
          <w:tcPr>
            <w:tcW w:w="2340" w:type="dxa"/>
            <w:shd w:val="clear" w:color="auto" w:fill="FFFFFF"/>
            <w:tcMar>
              <w:top w:w="100" w:type="dxa"/>
              <w:left w:w="150" w:type="dxa"/>
              <w:bottom w:w="100" w:type="dxa"/>
              <w:right w:w="150" w:type="dxa"/>
            </w:tcMar>
          </w:tcPr>
          <w:p w14:paraId="45A18CA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IRR = 0.829</w:t>
            </w:r>
          </w:p>
        </w:tc>
        <w:tc>
          <w:tcPr>
            <w:tcW w:w="2340" w:type="dxa"/>
            <w:shd w:val="clear" w:color="auto" w:fill="FFFFFF"/>
            <w:tcMar>
              <w:top w:w="100" w:type="dxa"/>
              <w:left w:w="150" w:type="dxa"/>
              <w:bottom w:w="100" w:type="dxa"/>
              <w:right w:w="150" w:type="dxa"/>
            </w:tcMar>
          </w:tcPr>
          <w:p w14:paraId="619E0E8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c>
          <w:tcPr>
            <w:tcW w:w="2340" w:type="dxa"/>
            <w:shd w:val="clear" w:color="auto" w:fill="FFFFFF"/>
            <w:tcMar>
              <w:top w:w="100" w:type="dxa"/>
              <w:left w:w="150" w:type="dxa"/>
              <w:bottom w:w="100" w:type="dxa"/>
              <w:right w:w="150" w:type="dxa"/>
            </w:tcMar>
          </w:tcPr>
          <w:p w14:paraId="07A12B4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Second strongest shortage-reduction association</w:t>
            </w:r>
          </w:p>
        </w:tc>
      </w:tr>
      <w:tr w:rsidR="00791B1B" w:rsidRPr="00791B1B" w14:paraId="2C1968DF" w14:textId="77777777">
        <w:trPr>
          <w:jc w:val="center"/>
        </w:trPr>
        <w:tc>
          <w:tcPr>
            <w:tcW w:w="2340" w:type="dxa"/>
            <w:shd w:val="clear" w:color="auto" w:fill="F4F6F9"/>
            <w:tcMar>
              <w:top w:w="100" w:type="dxa"/>
              <w:left w:w="150" w:type="dxa"/>
              <w:bottom w:w="100" w:type="dxa"/>
              <w:right w:w="150" w:type="dxa"/>
            </w:tcMar>
          </w:tcPr>
          <w:p w14:paraId="0C18882C"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Health clinic</w:t>
            </w:r>
          </w:p>
        </w:tc>
        <w:tc>
          <w:tcPr>
            <w:tcW w:w="2340" w:type="dxa"/>
            <w:shd w:val="clear" w:color="auto" w:fill="F4F6F9"/>
            <w:tcMar>
              <w:top w:w="100" w:type="dxa"/>
              <w:left w:w="150" w:type="dxa"/>
              <w:bottom w:w="100" w:type="dxa"/>
              <w:right w:w="150" w:type="dxa"/>
            </w:tcMar>
          </w:tcPr>
          <w:p w14:paraId="242CB7E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IRR = 0.898</w:t>
            </w:r>
          </w:p>
        </w:tc>
        <w:tc>
          <w:tcPr>
            <w:tcW w:w="2340" w:type="dxa"/>
            <w:shd w:val="clear" w:color="auto" w:fill="F4F6F9"/>
            <w:tcMar>
              <w:top w:w="100" w:type="dxa"/>
              <w:left w:w="150" w:type="dxa"/>
              <w:bottom w:w="100" w:type="dxa"/>
              <w:right w:w="150" w:type="dxa"/>
            </w:tcMar>
          </w:tcPr>
          <w:p w14:paraId="62971FE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&lt;0.001</w:t>
            </w:r>
          </w:p>
        </w:tc>
        <w:tc>
          <w:tcPr>
            <w:tcW w:w="2340" w:type="dxa"/>
            <w:shd w:val="clear" w:color="auto" w:fill="F4F6F9"/>
            <w:tcMar>
              <w:top w:w="100" w:type="dxa"/>
              <w:left w:w="150" w:type="dxa"/>
              <w:bottom w:w="100" w:type="dxa"/>
              <w:right w:w="150" w:type="dxa"/>
            </w:tcMar>
          </w:tcPr>
          <w:p w14:paraId="5AAFFA1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Significant but smaller reduction</w:t>
            </w:r>
          </w:p>
        </w:tc>
      </w:tr>
      <w:tr w:rsidR="00791B1B" w:rsidRPr="00791B1B" w14:paraId="310227B5" w14:textId="77777777">
        <w:trPr>
          <w:jc w:val="center"/>
        </w:trPr>
        <w:tc>
          <w:tcPr>
            <w:tcW w:w="2340" w:type="dxa"/>
            <w:shd w:val="clear" w:color="auto" w:fill="FFFFFF"/>
            <w:tcMar>
              <w:top w:w="100" w:type="dxa"/>
              <w:left w:w="150" w:type="dxa"/>
              <w:bottom w:w="100" w:type="dxa"/>
              <w:right w:w="150" w:type="dxa"/>
            </w:tcMar>
          </w:tcPr>
          <w:p w14:paraId="65D8EEC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lastRenderedPageBreak/>
              <w:t>Money services</w:t>
            </w:r>
          </w:p>
        </w:tc>
        <w:tc>
          <w:tcPr>
            <w:tcW w:w="2340" w:type="dxa"/>
            <w:shd w:val="clear" w:color="auto" w:fill="FFFFFF"/>
            <w:tcMar>
              <w:top w:w="100" w:type="dxa"/>
              <w:left w:w="150" w:type="dxa"/>
              <w:bottom w:w="100" w:type="dxa"/>
              <w:right w:w="150" w:type="dxa"/>
            </w:tcMar>
          </w:tcPr>
          <w:p w14:paraId="4E4E2CB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IRR = 0.922</w:t>
            </w:r>
          </w:p>
        </w:tc>
        <w:tc>
          <w:tcPr>
            <w:tcW w:w="2340" w:type="dxa"/>
            <w:shd w:val="clear" w:color="auto" w:fill="FFFFFF"/>
            <w:tcMar>
              <w:top w:w="100" w:type="dxa"/>
              <w:left w:w="150" w:type="dxa"/>
              <w:bottom w:w="100" w:type="dxa"/>
              <w:right w:w="150" w:type="dxa"/>
            </w:tcMar>
          </w:tcPr>
          <w:p w14:paraId="2816B7E2"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0.00588</w:t>
            </w:r>
          </w:p>
        </w:tc>
        <w:tc>
          <w:tcPr>
            <w:tcW w:w="2340" w:type="dxa"/>
            <w:shd w:val="clear" w:color="auto" w:fill="FFFFFF"/>
            <w:tcMar>
              <w:top w:w="100" w:type="dxa"/>
              <w:left w:w="150" w:type="dxa"/>
              <w:bottom w:w="100" w:type="dxa"/>
              <w:right w:w="150" w:type="dxa"/>
            </w:tcMar>
          </w:tcPr>
          <w:p w14:paraId="0A992A8D"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Significant but weakest reduction</w:t>
            </w:r>
          </w:p>
        </w:tc>
      </w:tr>
    </w:tbl>
    <w:p w14:paraId="3ABA2558"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 four-service interaction term is negative, but it is not statistically significant (β = -1.264, p = 0.137). This means that the model does not provide sufficient evidence that the full package of services produces an additional interaction effect beyond the separate contribution of each service. Therefore, the synergy component of H8 is not fully supported in this specification.</w:t>
      </w:r>
    </w:p>
    <w:p w14:paraId="12376B9A"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However, the priority component of H8 is strongly supported. The Poisson model shows that all four services are associated with fewer total severe shortages, but the magnitude differs across services. Piped water has the strongest association, with an incidence rate ratio of 0.728 (p &lt; 0.001). This means that visible piped-water infrastructure is associated with a lower expected count of severe shortages than the absence of piped water, holding other services, location, and country constant.</w:t>
      </w:r>
    </w:p>
    <w:p w14:paraId="7327A31F"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Electricity grid presence also shows a strong reduction effect, with an incidence rate ratio of 0.829 (p &lt; 0.001). Health clinics are associated with a smaller but still significant reduction (IRR = 0.898, p &lt; 0.001). Money services show the weakest reduction effect among the four services, though the relationship remains statistically significant (IRR = 0.922, p = 0.00588).</w:t>
      </w:r>
    </w:p>
    <w:p w14:paraId="52A9D499"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These results reveal an important distinction between preventive priority and cascade transmission. Cash Access Mismatch is one of the strongest predictors of cascading failure once severe mismatches occur, but money-service presence is not the strongest preventive service in the priority model. Instead, piped water emerges as the most important service for reducing the total burden of severe shortages. This means that cash access is critical for monitoring system breakdown, while piped water is critical for preventing severe deprivation in the first place.</w:t>
      </w:r>
    </w:p>
    <w:p w14:paraId="584DC0A1" w14:textId="77777777" w:rsidR="00A333C3" w:rsidRPr="00791B1B" w:rsidRDefault="00000000">
      <w:pPr>
        <w:rPr>
          <w:rFonts w:ascii="Times New Roman" w:hAnsi="Times New Roman" w:cs="Times New Roman"/>
          <w:color w:val="000000" w:themeColor="text1"/>
          <w:sz w:val="24"/>
          <w:szCs w:val="24"/>
        </w:rPr>
      </w:pPr>
      <w:r w:rsidRPr="00791B1B">
        <w:rPr>
          <w:rFonts w:ascii="Times New Roman" w:hAnsi="Times New Roman" w:cs="Times New Roman"/>
          <w:color w:val="000000" w:themeColor="text1"/>
          <w:sz w:val="24"/>
          <w:szCs w:val="24"/>
        </w:rPr>
        <w:t>Overall, H8 is partially supported. The evidence does not confirm a statistically significant four-service synergy effect, but it does support the priority argument. Under limited resources, piped water appears to be the strongest first-line investment priority, followed by electricity infrastructure, health clinics, and money services. At the same time, policymakers should continue monitoring cash-access and health-clinic mismatches because they function as warning signals of broader cascading failure.</w:t>
      </w:r>
    </w:p>
    <w:sectPr w:rsidR="00A333C3" w:rsidRPr="00791B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521496">
    <w:abstractNumId w:val="8"/>
  </w:num>
  <w:num w:numId="2" w16cid:durableId="794446817">
    <w:abstractNumId w:val="6"/>
  </w:num>
  <w:num w:numId="3" w16cid:durableId="1901596396">
    <w:abstractNumId w:val="5"/>
  </w:num>
  <w:num w:numId="4" w16cid:durableId="545795415">
    <w:abstractNumId w:val="4"/>
  </w:num>
  <w:num w:numId="5" w16cid:durableId="1867938943">
    <w:abstractNumId w:val="7"/>
  </w:num>
  <w:num w:numId="6" w16cid:durableId="1236280426">
    <w:abstractNumId w:val="3"/>
  </w:num>
  <w:num w:numId="7" w16cid:durableId="1839491703">
    <w:abstractNumId w:val="2"/>
  </w:num>
  <w:num w:numId="8" w16cid:durableId="2033526385">
    <w:abstractNumId w:val="1"/>
  </w:num>
  <w:num w:numId="9" w16cid:durableId="152760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DB3"/>
    <w:rsid w:val="0015074B"/>
    <w:rsid w:val="0029639D"/>
    <w:rsid w:val="00326F90"/>
    <w:rsid w:val="004537CB"/>
    <w:rsid w:val="00507B15"/>
    <w:rsid w:val="00540770"/>
    <w:rsid w:val="00553CDB"/>
    <w:rsid w:val="00791B1B"/>
    <w:rsid w:val="008E2638"/>
    <w:rsid w:val="009740D2"/>
    <w:rsid w:val="00A333C3"/>
    <w:rsid w:val="00AA1D8D"/>
    <w:rsid w:val="00B47730"/>
    <w:rsid w:val="00CB0664"/>
    <w:rsid w:val="00D00FD4"/>
    <w:rsid w:val="00F412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57783"/>
  <w14:defaultImageDpi w14:val="300"/>
  <w15:docId w15:val="{6F8A4787-360B-498A-9F69-2E0702E4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5927</Words>
  <Characters>33786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Nsika Mbingo</cp:lastModifiedBy>
  <cp:revision>6</cp:revision>
  <dcterms:created xsi:type="dcterms:W3CDTF">2026-06-26T22:26:00Z</dcterms:created>
  <dcterms:modified xsi:type="dcterms:W3CDTF">2026-06-26T22:35:00Z</dcterms:modified>
  <cp:category/>
</cp:coreProperties>
</file>