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right"/>
      </w:pPr>
      <w:r>
        <w:rPr>
          <w:rFonts w:ascii="Calibri" w:cs="Calibri" w:eastAsia="Calibri" w:hAnsi="Calibri"/>
          <w:b w:val="false"/>
          <w:bCs w:val="false"/>
          <w:i w:val="false"/>
          <w:iCs w:val="false"/>
          <w:color w:val="222222"/>
          <w:sz w:val="22"/>
          <w:szCs w:val="22"/>
        </w:rPr>
        <w:t xml:space="preserve">23 September 2026</w:t>
      </w:r>
    </w:p>
    <w:p>
      <w:pPr>
        <w:spacing w:after="0" w:before="0" w:line="240"/>
      </w:pPr>
      <w:r>
        <w:rPr>
          <w:rFonts w:ascii="Calibri" w:cs="Calibri" w:eastAsia="Calibri" w:hAnsi="Calibri"/>
          <w:b w:val="false"/>
          <w:bCs w:val="false"/>
          <w:i w:val="false"/>
          <w:iCs w:val="false"/>
          <w:color w:val="222222"/>
          <w:sz w:val="22"/>
          <w:szCs w:val="22"/>
        </w:rPr>
        <w:t xml:space="preserve">Angelo Macario</w:t>
      </w:r>
    </w:p>
    <w:p>
      <w:pPr>
        <w:spacing w:after="0" w:before="0" w:line="240"/>
      </w:pPr>
      <w:r>
        <w:rPr>
          <w:rFonts w:ascii="Calibri" w:cs="Calibri" w:eastAsia="Calibri" w:hAnsi="Calibri"/>
          <w:b w:val="false"/>
          <w:bCs w:val="false"/>
          <w:i w:val="false"/>
          <w:iCs w:val="false"/>
          <w:color w:val="222222"/>
          <w:sz w:val="22"/>
          <w:szCs w:val="22"/>
        </w:rPr>
        <w:t xml:space="preserve">Project Manager / Single Point of Contact</w:t>
      </w:r>
    </w:p>
    <w:p>
      <w:pPr>
        <w:spacing w:after="0" w:before="0" w:line="240"/>
      </w:pPr>
      <w:r>
        <w:rPr>
          <w:rFonts w:ascii="Calibri" w:cs="Calibri" w:eastAsia="Calibri" w:hAnsi="Calibri"/>
          <w:b w:val="false"/>
          <w:bCs w:val="false"/>
          <w:i w:val="false"/>
          <w:iCs w:val="false"/>
          <w:color w:val="222222"/>
          <w:sz w:val="22"/>
          <w:szCs w:val="22"/>
        </w:rPr>
        <w:t xml:space="preserve">National Museum of the Philippines (NMP)</w:t>
      </w:r>
    </w:p>
    <w:p>
      <w:pPr>
        <w:spacing w:after="0" w:before="0" w:line="240"/>
      </w:pPr>
      <w:r>
        <w:rPr>
          <w:rFonts w:ascii="Calibri" w:cs="Calibri" w:eastAsia="Calibri" w:hAnsi="Calibri"/>
          <w:b w:val="false"/>
          <w:bCs w:val="false"/>
          <w:i w:val="false"/>
          <w:iCs w:val="false"/>
          <w:color w:val="222222"/>
          <w:sz w:val="22"/>
          <w:szCs w:val="22"/>
        </w:rPr>
        <w:t xml:space="preserve">P. Burgos Drive, Rizal Park, Manila</w:t>
      </w:r>
    </w:p>
    <w:p>
      <w:pPr>
        <w:spacing w:after="40" w:before="200" w:line="276"/>
      </w:pPr>
      <w:r>
        <w:rPr>
          <w:rFonts w:ascii="Calibri" w:cs="Calibri" w:eastAsia="Calibri" w:hAnsi="Calibri"/>
          <w:b/>
          <w:bCs/>
          <w:i w:val="false"/>
          <w:iCs w:val="false"/>
          <w:color w:val="222222"/>
          <w:sz w:val="22"/>
          <w:szCs w:val="22"/>
        </w:rPr>
        <w:t xml:space="preserve">Thru:</w:t>
      </w:r>
    </w:p>
    <w:p>
      <w:pPr>
        <w:spacing w:after="0" w:before="0" w:line="240"/>
      </w:pPr>
      <w:r>
        <w:rPr>
          <w:rFonts w:ascii="Calibri" w:cs="Calibri" w:eastAsia="Calibri" w:hAnsi="Calibri"/>
          <w:b w:val="false"/>
          <w:bCs w:val="false"/>
          <w:i w:val="false"/>
          <w:iCs w:val="false"/>
          <w:color w:val="222222"/>
          <w:sz w:val="22"/>
          <w:szCs w:val="22"/>
        </w:rPr>
        <w:t xml:space="preserve">Resty Morancil</w:t>
      </w:r>
    </w:p>
    <w:p>
      <w:pPr>
        <w:spacing w:after="0" w:before="0" w:line="240"/>
      </w:pPr>
      <w:r>
        <w:rPr>
          <w:rFonts w:ascii="Calibri" w:cs="Calibri" w:eastAsia="Calibri" w:hAnsi="Calibri"/>
          <w:b w:val="false"/>
          <w:bCs w:val="false"/>
          <w:i w:val="false"/>
          <w:iCs w:val="false"/>
          <w:color w:val="222222"/>
          <w:sz w:val="22"/>
          <w:szCs w:val="22"/>
        </w:rPr>
        <w:t xml:space="preserve">IT Officer</w:t>
      </w:r>
    </w:p>
    <w:p>
      <w:pPr>
        <w:spacing w:after="0" w:before="0" w:line="240"/>
      </w:pPr>
      <w:r>
        <w:rPr>
          <w:rFonts w:ascii="Calibri" w:cs="Calibri" w:eastAsia="Calibri" w:hAnsi="Calibri"/>
          <w:b w:val="false"/>
          <w:bCs w:val="false"/>
          <w:i w:val="false"/>
          <w:iCs w:val="false"/>
          <w:color w:val="222222"/>
          <w:sz w:val="22"/>
          <w:szCs w:val="22"/>
        </w:rPr>
        <w:t xml:space="preserve">National Museum of the Philippines (NMP)</w:t>
      </w:r>
    </w:p>
    <w:p>
      <w:pPr>
        <w:spacing w:after="200" w:before="220"/>
      </w:pPr>
      <w:r>
        <w:rPr>
          <w:rFonts w:ascii="Calibri" w:cs="Calibri" w:eastAsia="Calibri" w:hAnsi="Calibri"/>
          <w:b/>
          <w:bCs/>
          <w:i w:val="false"/>
          <w:iCs w:val="false"/>
          <w:color w:val="222222"/>
          <w:sz w:val="22"/>
          <w:szCs w:val="22"/>
        </w:rPr>
        <w:t xml:space="preserve">Subject:  </w:t>
      </w:r>
      <w:r>
        <w:rPr>
          <w:rFonts w:ascii="Calibri" w:cs="Calibri" w:eastAsia="Calibri" w:hAnsi="Calibri"/>
          <w:b/>
          <w:bCs/>
          <w:i w:val="false"/>
          <w:iCs w:val="false"/>
          <w:color w:val="222222"/>
          <w:sz w:val="22"/>
          <w:szCs w:val="22"/>
        </w:rPr>
        <w:t xml:space="preserve">Project Progress Report – NMP Support Ticketing System</w:t>
      </w:r>
    </w:p>
    <w:p>
      <w:pPr>
        <w:spacing w:after="160" w:before="0" w:line="276"/>
      </w:pPr>
      <w:r>
        <w:rPr>
          <w:rFonts w:ascii="Calibri" w:cs="Calibri" w:eastAsia="Calibri" w:hAnsi="Calibri"/>
          <w:b w:val="false"/>
          <w:bCs w:val="false"/>
          <w:i w:val="false"/>
          <w:iCs w:val="false"/>
          <w:color w:val="222222"/>
          <w:sz w:val="22"/>
          <w:szCs w:val="22"/>
        </w:rPr>
        <w:t xml:space="preserve">Dear Mr. Macario,</w:t>
      </w:r>
    </w:p>
    <w:p>
      <w:pPr>
        <w:spacing w:after="160" w:before="0" w:line="276"/>
      </w:pPr>
      <w:r>
        <w:rPr>
          <w:rFonts w:ascii="Calibri" w:cs="Calibri" w:eastAsia="Calibri" w:hAnsi="Calibri"/>
          <w:b w:val="false"/>
          <w:bCs w:val="false"/>
          <w:i w:val="false"/>
          <w:iCs w:val="false"/>
          <w:color w:val="222222"/>
          <w:sz w:val="22"/>
          <w:szCs w:val="22"/>
        </w:rPr>
        <w:t xml:space="preserve">This letter is the official progress report for the National Museum of the Philippines (NMP) Support Ticketing System (STS) as of 23 September 2026.</w:t>
      </w:r>
    </w:p>
    <w:p>
      <w:pPr>
        <w:spacing w:after="160" w:before="0" w:line="276"/>
      </w:pPr>
      <w:r>
        <w:rPr>
          <w:rFonts w:ascii="Calibri" w:cs="Calibri" w:eastAsia="Calibri" w:hAnsi="Calibri"/>
          <w:b w:val="false"/>
          <w:bCs w:val="false"/>
          <w:i w:val="false"/>
          <w:iCs w:val="false"/>
          <w:color w:val="222222"/>
          <w:sz w:val="22"/>
          <w:szCs w:val="22"/>
        </w:rPr>
        <w:t xml:space="preserve">System development is complete. The application now covers the Super Admin, Admin, Records, and Staff portals. Form building and publishing, request submission, client review, approval and assignment, service feedback, role-based access, messaging, reports, and the Employee User Manual (Version 2.3) are in place. The system is ready for User Acceptance Testing.</w:t>
      </w:r>
    </w:p>
    <w:p>
      <w:pPr>
        <w:pBdr>
          <w:bottom w:val="single" w:color="1F3A5F" w:sz="8" w:space="1"/>
        </w:pBdr>
        <w:spacing w:after="120" w:before="280"/>
      </w:pPr>
      <w:r>
        <w:rPr>
          <w:rFonts w:ascii="Calibri" w:cs="Calibri" w:eastAsia="Calibri" w:hAnsi="Calibri"/>
          <w:b/>
          <w:bCs/>
          <w:i w:val="false"/>
          <w:iCs w:val="false"/>
          <w:color w:val="1F3A5F"/>
          <w:sz w:val="24"/>
          <w:szCs w:val="24"/>
        </w:rPr>
        <w:t xml:space="preserve">Project Status Summary</w:t>
      </w:r>
    </w:p>
    <w:p>
      <w:pPr>
        <w:spacing w:after="120" w:before="0" w:line="276"/>
      </w:pPr>
      <w:r>
        <w:rPr>
          <w:rFonts w:ascii="Calibri" w:cs="Calibri" w:eastAsia="Calibri" w:hAnsi="Calibri"/>
          <w:b w:val="false"/>
          <w:bCs w:val="false"/>
          <w:i w:val="false"/>
          <w:iCs w:val="false"/>
          <w:color w:val="222222"/>
          <w:sz w:val="22"/>
          <w:szCs w:val="22"/>
        </w:rPr>
        <w:t xml:space="preserve">The following development items are completed:</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00"/>
        <w:gridCol w:w="3100"/>
        <w:gridCol w:w="2100"/>
        <w:gridCol w:w="1100"/>
        <w:gridCol w:w="1866"/>
        <w:gridCol w:w="1600"/>
      </w:tblGrid>
      <w:tr>
        <w:trPr>
          <w:cantSplit/>
          <w:tblHeader/>
        </w:trPr>
        <w:tc>
          <w:tcPr>
            <w:tcW w:type="dxa" w:w="700"/>
            <w:tcBorders>
              <w:top w:val="single" w:color="C5CDD6" w:sz="4"/>
              <w:left w:val="single" w:color="C5CDD6" w:sz="4"/>
              <w:bottom w:val="single" w:color="C5CDD6" w:sz="4"/>
              <w:right w:val="single" w:color="C5CDD6" w:sz="4"/>
            </w:tcBorders>
            <w:shd w:fill="1F3A5F" w:val="clear"/>
            <w:tcMar>
              <w:top w:type="dxa" w:w="50"/>
              <w:left w:type="dxa" w:w="60"/>
              <w:bottom w:type="dxa" w:w="50"/>
              <w:right w:type="dxa" w:w="60"/>
            </w:tcMar>
            <w:vAlign w:val="center"/>
          </w:tcPr>
          <w:p>
            <w:pPr>
              <w:spacing w:after="0" w:before="0"/>
              <w:jc w:val="left"/>
            </w:pPr>
            <w:r>
              <w:rPr>
                <w:rFonts w:ascii="Calibri" w:cs="Calibri" w:eastAsia="Calibri" w:hAnsi="Calibri"/>
                <w:b/>
                <w:bCs/>
                <w:i w:val="false"/>
                <w:iCs w:val="false"/>
                <w:color w:val="FFFFFF"/>
                <w:sz w:val="15"/>
                <w:szCs w:val="15"/>
              </w:rPr>
              <w:t xml:space="preserve">Item No.</w:t>
            </w:r>
          </w:p>
        </w:tc>
        <w:tc>
          <w:tcPr>
            <w:tcW w:type="dxa" w:w="3100"/>
            <w:tcBorders>
              <w:top w:val="single" w:color="C5CDD6" w:sz="4"/>
              <w:left w:val="single" w:color="C5CDD6" w:sz="4"/>
              <w:bottom w:val="single" w:color="C5CDD6" w:sz="4"/>
              <w:right w:val="single" w:color="C5CDD6" w:sz="4"/>
            </w:tcBorders>
            <w:shd w:fill="1F3A5F" w:val="clear"/>
            <w:tcMar>
              <w:top w:type="dxa" w:w="50"/>
              <w:left w:type="dxa" w:w="60"/>
              <w:bottom w:type="dxa" w:w="50"/>
              <w:right w:type="dxa" w:w="60"/>
            </w:tcMar>
            <w:vAlign w:val="center"/>
          </w:tcPr>
          <w:p>
            <w:pPr>
              <w:spacing w:after="0" w:before="0"/>
              <w:jc w:val="left"/>
            </w:pPr>
            <w:r>
              <w:rPr>
                <w:rFonts w:ascii="Calibri" w:cs="Calibri" w:eastAsia="Calibri" w:hAnsi="Calibri"/>
                <w:b/>
                <w:bCs/>
                <w:i w:val="false"/>
                <w:iCs w:val="false"/>
                <w:color w:val="FFFFFF"/>
                <w:sz w:val="15"/>
                <w:szCs w:val="15"/>
              </w:rPr>
              <w:t xml:space="preserve">Activities</w:t>
            </w:r>
          </w:p>
        </w:tc>
        <w:tc>
          <w:tcPr>
            <w:tcW w:type="dxa" w:w="2100"/>
            <w:tcBorders>
              <w:top w:val="single" w:color="C5CDD6" w:sz="4"/>
              <w:left w:val="single" w:color="C5CDD6" w:sz="4"/>
              <w:bottom w:val="single" w:color="C5CDD6" w:sz="4"/>
              <w:right w:val="single" w:color="C5CDD6" w:sz="4"/>
            </w:tcBorders>
            <w:shd w:fill="1F3A5F" w:val="clear"/>
            <w:tcMar>
              <w:top w:type="dxa" w:w="50"/>
              <w:left w:type="dxa" w:w="60"/>
              <w:bottom w:type="dxa" w:w="50"/>
              <w:right w:type="dxa" w:w="60"/>
            </w:tcMar>
            <w:vAlign w:val="center"/>
          </w:tcPr>
          <w:p>
            <w:pPr>
              <w:spacing w:after="0" w:before="0"/>
              <w:jc w:val="left"/>
            </w:pPr>
            <w:r>
              <w:rPr>
                <w:rFonts w:ascii="Calibri" w:cs="Calibri" w:eastAsia="Calibri" w:hAnsi="Calibri"/>
                <w:b/>
                <w:bCs/>
                <w:i w:val="false"/>
                <w:iCs w:val="false"/>
                <w:color w:val="FFFFFF"/>
                <w:sz w:val="15"/>
                <w:szCs w:val="15"/>
              </w:rPr>
              <w:t xml:space="preserve">Action needed</w:t>
            </w:r>
          </w:p>
        </w:tc>
        <w:tc>
          <w:tcPr>
            <w:tcW w:type="dxa" w:w="1100"/>
            <w:tcBorders>
              <w:top w:val="single" w:color="C5CDD6" w:sz="4"/>
              <w:left w:val="single" w:color="C5CDD6" w:sz="4"/>
              <w:bottom w:val="single" w:color="C5CDD6" w:sz="4"/>
              <w:right w:val="single" w:color="C5CDD6" w:sz="4"/>
            </w:tcBorders>
            <w:shd w:fill="1F3A5F" w:val="clear"/>
            <w:tcMar>
              <w:top w:type="dxa" w:w="50"/>
              <w:left w:type="dxa" w:w="60"/>
              <w:bottom w:type="dxa" w:w="50"/>
              <w:right w:type="dxa" w:w="60"/>
            </w:tcMar>
            <w:vAlign w:val="center"/>
          </w:tcPr>
          <w:p>
            <w:pPr>
              <w:spacing w:after="0" w:before="0"/>
              <w:jc w:val="left"/>
            </w:pPr>
            <w:r>
              <w:rPr>
                <w:rFonts w:ascii="Calibri" w:cs="Calibri" w:eastAsia="Calibri" w:hAnsi="Calibri"/>
                <w:b/>
                <w:bCs/>
                <w:i w:val="false"/>
                <w:iCs w:val="false"/>
                <w:color w:val="FFFFFF"/>
                <w:sz w:val="15"/>
                <w:szCs w:val="15"/>
              </w:rPr>
              <w:t xml:space="preserve">Responsible</w:t>
            </w:r>
          </w:p>
        </w:tc>
        <w:tc>
          <w:tcPr>
            <w:tcW w:type="dxa" w:w="1866"/>
            <w:tcBorders>
              <w:top w:val="single" w:color="C5CDD6" w:sz="4"/>
              <w:left w:val="single" w:color="C5CDD6" w:sz="4"/>
              <w:bottom w:val="single" w:color="C5CDD6" w:sz="4"/>
              <w:right w:val="single" w:color="C5CDD6" w:sz="4"/>
            </w:tcBorders>
            <w:shd w:fill="1F3A5F" w:val="clear"/>
            <w:tcMar>
              <w:top w:type="dxa" w:w="50"/>
              <w:left w:type="dxa" w:w="60"/>
              <w:bottom w:type="dxa" w:w="50"/>
              <w:right w:type="dxa" w:w="60"/>
            </w:tcMar>
            <w:vAlign w:val="center"/>
          </w:tcPr>
          <w:p>
            <w:pPr>
              <w:spacing w:after="0" w:before="0"/>
              <w:jc w:val="left"/>
            </w:pPr>
            <w:r>
              <w:rPr>
                <w:rFonts w:ascii="Calibri" w:cs="Calibri" w:eastAsia="Calibri" w:hAnsi="Calibri"/>
                <w:b/>
                <w:bCs/>
                <w:i w:val="false"/>
                <w:iCs w:val="false"/>
                <w:color w:val="FFFFFF"/>
                <w:sz w:val="15"/>
                <w:szCs w:val="15"/>
              </w:rPr>
              <w:t xml:space="preserve">Date Completed</w:t>
            </w:r>
          </w:p>
        </w:tc>
        <w:tc>
          <w:tcPr>
            <w:tcW w:type="dxa" w:w="1600"/>
            <w:tcBorders>
              <w:top w:val="single" w:color="C5CDD6" w:sz="4"/>
              <w:left w:val="single" w:color="C5CDD6" w:sz="4"/>
              <w:bottom w:val="single" w:color="C5CDD6" w:sz="4"/>
              <w:right w:val="single" w:color="C5CDD6" w:sz="4"/>
            </w:tcBorders>
            <w:shd w:fill="1F3A5F" w:val="clear"/>
            <w:tcMar>
              <w:top w:type="dxa" w:w="50"/>
              <w:left w:type="dxa" w:w="60"/>
              <w:bottom w:type="dxa" w:w="50"/>
              <w:right w:type="dxa" w:w="60"/>
            </w:tcMar>
            <w:vAlign w:val="center"/>
          </w:tcPr>
          <w:p>
            <w:pPr>
              <w:spacing w:after="0" w:before="0"/>
              <w:jc w:val="left"/>
            </w:pPr>
            <w:r>
              <w:rPr>
                <w:rFonts w:ascii="Calibri" w:cs="Calibri" w:eastAsia="Calibri" w:hAnsi="Calibri"/>
                <w:b/>
                <w:bCs/>
                <w:i w:val="false"/>
                <w:iCs w:val="false"/>
                <w:color w:val="FFFFFF"/>
                <w:sz w:val="15"/>
                <w:szCs w:val="15"/>
              </w:rPr>
              <w:t xml:space="preserve">Status</w:t>
            </w:r>
          </w:p>
        </w:tc>
      </w:tr>
      <w:tr>
        <w:trPr>
          <w:cantSplit/>
        </w:trPr>
        <w:tc>
          <w:tcPr>
            <w:tcW w:type="dxa" w:w="7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1</w:t>
            </w:r>
          </w:p>
        </w:tc>
        <w:tc>
          <w:tcPr>
            <w:tcW w:type="dxa" w:w="31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Form Builder (six steps, print placement, supporting document) and form lifecycle</w:t>
            </w:r>
          </w:p>
        </w:tc>
        <w:tc>
          <w:tcPr>
            <w:tcW w:type="dxa" w:w="21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None. Delivered for UAT.</w:t>
            </w:r>
          </w:p>
        </w:tc>
        <w:tc>
          <w:tcPr>
            <w:tcW w:type="dxa" w:w="11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DVC</w:t>
            </w:r>
          </w:p>
        </w:tc>
        <w:tc>
          <w:tcPr>
            <w:tcW w:type="dxa" w:w="1866"/>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22 September 2026</w:t>
            </w:r>
          </w:p>
        </w:tc>
        <w:tc>
          <w:tcPr>
            <w:tcW w:type="dxa" w:w="16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Completed</w:t>
            </w:r>
          </w:p>
        </w:tc>
      </w:tr>
      <w:tr>
        <w:trPr>
          <w:cantSplit/>
        </w:trPr>
        <w:tc>
          <w:tcPr>
            <w:tcW w:type="dxa" w:w="7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2</w:t>
            </w:r>
          </w:p>
        </w:tc>
        <w:tc>
          <w:tcPr>
            <w:tcW w:type="dxa" w:w="31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Records review and publishing (Pending Forms, Published Forms, recommendation)</w:t>
            </w:r>
          </w:p>
        </w:tc>
        <w:tc>
          <w:tcPr>
            <w:tcW w:type="dxa" w:w="21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None. Delivered for UAT.</w:t>
            </w:r>
          </w:p>
        </w:tc>
        <w:tc>
          <w:tcPr>
            <w:tcW w:type="dxa" w:w="11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DVC</w:t>
            </w:r>
          </w:p>
        </w:tc>
        <w:tc>
          <w:tcPr>
            <w:tcW w:type="dxa" w:w="1866"/>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22 September 2026</w:t>
            </w:r>
          </w:p>
        </w:tc>
        <w:tc>
          <w:tcPr>
            <w:tcW w:type="dxa" w:w="16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Completed</w:t>
            </w:r>
          </w:p>
        </w:tc>
      </w:tr>
      <w:tr>
        <w:trPr>
          <w:cantSplit/>
        </w:trPr>
        <w:tc>
          <w:tcPr>
            <w:tcW w:type="dxa" w:w="7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3</w:t>
            </w:r>
          </w:p>
        </w:tc>
        <w:tc>
          <w:tcPr>
            <w:tcW w:type="dxa" w:w="31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Staff request workflow (submit, For Review, approvals, assignment, feedback, close)</w:t>
            </w:r>
          </w:p>
        </w:tc>
        <w:tc>
          <w:tcPr>
            <w:tcW w:type="dxa" w:w="21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None. Delivered for UAT.</w:t>
            </w:r>
          </w:p>
        </w:tc>
        <w:tc>
          <w:tcPr>
            <w:tcW w:type="dxa" w:w="11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DVC</w:t>
            </w:r>
          </w:p>
        </w:tc>
        <w:tc>
          <w:tcPr>
            <w:tcW w:type="dxa" w:w="1866"/>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22 September 2026</w:t>
            </w:r>
          </w:p>
        </w:tc>
        <w:tc>
          <w:tcPr>
            <w:tcW w:type="dxa" w:w="16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Completed</w:t>
            </w:r>
          </w:p>
        </w:tc>
      </w:tr>
      <w:tr>
        <w:trPr>
          <w:cantSplit/>
        </w:trPr>
        <w:tc>
          <w:tcPr>
            <w:tcW w:type="dxa" w:w="7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4</w:t>
            </w:r>
          </w:p>
        </w:tc>
        <w:tc>
          <w:tcPr>
            <w:tcW w:type="dxa" w:w="31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PAMANA employee autofill, users, roles, and permissions</w:t>
            </w:r>
          </w:p>
        </w:tc>
        <w:tc>
          <w:tcPr>
            <w:tcW w:type="dxa" w:w="21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None. Delivered for UAT.</w:t>
            </w:r>
          </w:p>
        </w:tc>
        <w:tc>
          <w:tcPr>
            <w:tcW w:type="dxa" w:w="11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DVC</w:t>
            </w:r>
          </w:p>
        </w:tc>
        <w:tc>
          <w:tcPr>
            <w:tcW w:type="dxa" w:w="1866"/>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22 September 2026</w:t>
            </w:r>
          </w:p>
        </w:tc>
        <w:tc>
          <w:tcPr>
            <w:tcW w:type="dxa" w:w="16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Completed</w:t>
            </w:r>
          </w:p>
        </w:tc>
      </w:tr>
      <w:tr>
        <w:trPr>
          <w:cantSplit/>
        </w:trPr>
        <w:tc>
          <w:tcPr>
            <w:tcW w:type="dxa" w:w="7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5</w:t>
            </w:r>
          </w:p>
        </w:tc>
        <w:tc>
          <w:tcPr>
            <w:tcW w:type="dxa" w:w="31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Employee User Manual, Version 2.3</w:t>
            </w:r>
          </w:p>
        </w:tc>
        <w:tc>
          <w:tcPr>
            <w:tcW w:type="dxa" w:w="21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For NMP use during UAT and training.</w:t>
            </w:r>
          </w:p>
        </w:tc>
        <w:tc>
          <w:tcPr>
            <w:tcW w:type="dxa" w:w="11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DVC</w:t>
            </w:r>
          </w:p>
        </w:tc>
        <w:tc>
          <w:tcPr>
            <w:tcW w:type="dxa" w:w="1866"/>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22 September 2026</w:t>
            </w:r>
          </w:p>
        </w:tc>
        <w:tc>
          <w:tcPr>
            <w:tcW w:type="dxa" w:w="16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Completed</w:t>
            </w:r>
          </w:p>
        </w:tc>
      </w:tr>
    </w:tbl>
    <w:p>
      <w:pPr>
        <w:pBdr>
          <w:bottom w:val="single" w:color="1F3A5F" w:sz="8" w:space="1"/>
        </w:pBdr>
        <w:spacing w:after="120" w:before="280"/>
      </w:pPr>
      <w:r>
        <w:rPr>
          <w:rFonts w:ascii="Calibri" w:cs="Calibri" w:eastAsia="Calibri" w:hAnsi="Calibri"/>
          <w:b/>
          <w:bCs/>
          <w:i w:val="false"/>
          <w:iCs w:val="false"/>
          <w:color w:val="1F3A5F"/>
          <w:sz w:val="24"/>
          <w:szCs w:val="24"/>
        </w:rPr>
        <w:t xml:space="preserve">Phase Completion</w:t>
      </w:r>
    </w:p>
    <w:p>
      <w:pPr>
        <w:spacing w:after="160" w:before="0" w:line="276"/>
      </w:pPr>
      <w:r>
        <w:rPr>
          <w:rFonts w:ascii="Calibri" w:cs="Calibri" w:eastAsia="Calibri" w:hAnsi="Calibri"/>
          <w:b w:val="false"/>
          <w:bCs w:val="false"/>
          <w:i w:val="false"/>
          <w:iCs w:val="false"/>
          <w:color w:val="222222"/>
          <w:sz w:val="22"/>
          <w:szCs w:val="22"/>
        </w:rPr>
        <w:t xml:space="preserve">With these items delivered, the development phase is closed. The working environment was cleared of sample forms, tickets, messages, and activity logs on 22 September 2026 so Client, Admin, and Records start clean. User accounts and role assignments were kept.</w:t>
      </w:r>
    </w:p>
    <w:p>
      <w:pPr>
        <w:spacing w:after="160" w:before="0" w:line="276"/>
      </w:pPr>
      <w:r>
        <w:rPr>
          <w:rFonts w:ascii="Calibri" w:cs="Calibri" w:eastAsia="Calibri" w:hAnsi="Calibri"/>
          <w:b w:val="false"/>
          <w:bCs w:val="false"/>
          <w:i w:val="false"/>
          <w:iCs w:val="false"/>
          <w:color w:val="222222"/>
          <w:sz w:val="22"/>
          <w:szCs w:val="22"/>
        </w:rPr>
        <w:t xml:space="preserve">No invoice is reported in this letter. Billing for the completed development phase will follow the approved project terms after NMP accepts the delivered system in writing.</w:t>
      </w:r>
    </w:p>
    <w:p>
      <w:pPr>
        <w:pBdr>
          <w:bottom w:val="single" w:color="1F3A5F" w:sz="8" w:space="1"/>
        </w:pBdr>
        <w:spacing w:after="120" w:before="280"/>
      </w:pPr>
      <w:r>
        <w:rPr>
          <w:rFonts w:ascii="Calibri" w:cs="Calibri" w:eastAsia="Calibri" w:hAnsi="Calibri"/>
          <w:b/>
          <w:bCs/>
          <w:i w:val="false"/>
          <w:iCs w:val="false"/>
          <w:color w:val="1F3A5F"/>
          <w:sz w:val="24"/>
          <w:szCs w:val="24"/>
        </w:rPr>
        <w:t xml:space="preserve">Project Timeline</w:t>
      </w:r>
    </w:p>
    <w:p>
      <w:pPr>
        <w:spacing w:after="120" w:before="0" w:line="276"/>
      </w:pPr>
      <w:r>
        <w:rPr>
          <w:rFonts w:ascii="Calibri" w:cs="Calibri" w:eastAsia="Calibri" w:hAnsi="Calibri"/>
          <w:b w:val="false"/>
          <w:bCs w:val="false"/>
          <w:i w:val="false"/>
          <w:iCs w:val="false"/>
          <w:color w:val="222222"/>
          <w:sz w:val="22"/>
          <w:szCs w:val="22"/>
        </w:rPr>
        <w:t xml:space="preserve">Dates below are the working schedule. User Acceptance Testing, training, and go-live move only after NMP confirms the testers and the start date.</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500"/>
        <w:gridCol w:w="1100"/>
        <w:gridCol w:w="800"/>
        <w:gridCol w:w="1900"/>
        <w:gridCol w:w="1966"/>
        <w:gridCol w:w="2200"/>
      </w:tblGrid>
      <w:tr>
        <w:trPr>
          <w:cantSplit/>
          <w:tblHeader/>
        </w:trPr>
        <w:tc>
          <w:tcPr>
            <w:tcW w:type="dxa" w:w="2500"/>
            <w:tcBorders>
              <w:top w:val="single" w:color="C5CDD6" w:sz="4"/>
              <w:left w:val="single" w:color="C5CDD6" w:sz="4"/>
              <w:bottom w:val="single" w:color="C5CDD6" w:sz="4"/>
              <w:right w:val="single" w:color="C5CDD6" w:sz="4"/>
            </w:tcBorders>
            <w:shd w:fill="1F3A5F" w:val="clear"/>
            <w:tcMar>
              <w:top w:type="dxa" w:w="50"/>
              <w:left w:type="dxa" w:w="60"/>
              <w:bottom w:type="dxa" w:w="50"/>
              <w:right w:type="dxa" w:w="60"/>
            </w:tcMar>
            <w:vAlign w:val="center"/>
          </w:tcPr>
          <w:p>
            <w:pPr>
              <w:spacing w:after="0" w:before="0"/>
              <w:jc w:val="left"/>
            </w:pPr>
            <w:r>
              <w:rPr>
                <w:rFonts w:ascii="Calibri" w:cs="Calibri" w:eastAsia="Calibri" w:hAnsi="Calibri"/>
                <w:b/>
                <w:bCs/>
                <w:i w:val="false"/>
                <w:iCs w:val="false"/>
                <w:color w:val="FFFFFF"/>
                <w:sz w:val="15"/>
                <w:szCs w:val="15"/>
              </w:rPr>
              <w:t xml:space="preserve">Activity</w:t>
            </w:r>
          </w:p>
        </w:tc>
        <w:tc>
          <w:tcPr>
            <w:tcW w:type="dxa" w:w="1100"/>
            <w:tcBorders>
              <w:top w:val="single" w:color="C5CDD6" w:sz="4"/>
              <w:left w:val="single" w:color="C5CDD6" w:sz="4"/>
              <w:bottom w:val="single" w:color="C5CDD6" w:sz="4"/>
              <w:right w:val="single" w:color="C5CDD6" w:sz="4"/>
            </w:tcBorders>
            <w:shd w:fill="1F3A5F" w:val="clear"/>
            <w:tcMar>
              <w:top w:type="dxa" w:w="50"/>
              <w:left w:type="dxa" w:w="60"/>
              <w:bottom w:type="dxa" w:w="50"/>
              <w:right w:type="dxa" w:w="60"/>
            </w:tcMar>
            <w:vAlign w:val="center"/>
          </w:tcPr>
          <w:p>
            <w:pPr>
              <w:spacing w:after="0" w:before="0"/>
              <w:jc w:val="left"/>
            </w:pPr>
            <w:r>
              <w:rPr>
                <w:rFonts w:ascii="Calibri" w:cs="Calibri" w:eastAsia="Calibri" w:hAnsi="Calibri"/>
                <w:b/>
                <w:bCs/>
                <w:i w:val="false"/>
                <w:iCs w:val="false"/>
                <w:color w:val="FFFFFF"/>
                <w:sz w:val="15"/>
                <w:szCs w:val="15"/>
              </w:rPr>
              <w:t xml:space="preserve">Responsible</w:t>
            </w:r>
          </w:p>
        </w:tc>
        <w:tc>
          <w:tcPr>
            <w:tcW w:type="dxa" w:w="800"/>
            <w:tcBorders>
              <w:top w:val="single" w:color="C5CDD6" w:sz="4"/>
              <w:left w:val="single" w:color="C5CDD6" w:sz="4"/>
              <w:bottom w:val="single" w:color="C5CDD6" w:sz="4"/>
              <w:right w:val="single" w:color="C5CDD6" w:sz="4"/>
            </w:tcBorders>
            <w:shd w:fill="1F3A5F" w:val="clear"/>
            <w:tcMar>
              <w:top w:type="dxa" w:w="50"/>
              <w:left w:type="dxa" w:w="60"/>
              <w:bottom w:type="dxa" w:w="50"/>
              <w:right w:type="dxa" w:w="60"/>
            </w:tcMar>
            <w:vAlign w:val="center"/>
          </w:tcPr>
          <w:p>
            <w:pPr>
              <w:spacing w:after="0" w:before="0"/>
              <w:jc w:val="left"/>
            </w:pPr>
            <w:r>
              <w:rPr>
                <w:rFonts w:ascii="Calibri" w:cs="Calibri" w:eastAsia="Calibri" w:hAnsi="Calibri"/>
                <w:b/>
                <w:bCs/>
                <w:i w:val="false"/>
                <w:iCs w:val="false"/>
                <w:color w:val="FFFFFF"/>
                <w:sz w:val="15"/>
                <w:szCs w:val="15"/>
              </w:rPr>
              <w:t xml:space="preserve">No. of Days</w:t>
            </w:r>
          </w:p>
        </w:tc>
        <w:tc>
          <w:tcPr>
            <w:tcW w:type="dxa" w:w="1900"/>
            <w:tcBorders>
              <w:top w:val="single" w:color="C5CDD6" w:sz="4"/>
              <w:left w:val="single" w:color="C5CDD6" w:sz="4"/>
              <w:bottom w:val="single" w:color="C5CDD6" w:sz="4"/>
              <w:right w:val="single" w:color="C5CDD6" w:sz="4"/>
            </w:tcBorders>
            <w:shd w:fill="1F3A5F" w:val="clear"/>
            <w:tcMar>
              <w:top w:type="dxa" w:w="50"/>
              <w:left w:type="dxa" w:w="60"/>
              <w:bottom w:type="dxa" w:w="50"/>
              <w:right w:type="dxa" w:w="60"/>
            </w:tcMar>
            <w:vAlign w:val="center"/>
          </w:tcPr>
          <w:p>
            <w:pPr>
              <w:spacing w:after="0" w:before="0"/>
              <w:jc w:val="left"/>
            </w:pPr>
            <w:r>
              <w:rPr>
                <w:rFonts w:ascii="Calibri" w:cs="Calibri" w:eastAsia="Calibri" w:hAnsi="Calibri"/>
                <w:b/>
                <w:bCs/>
                <w:i w:val="false"/>
                <w:iCs w:val="false"/>
                <w:color w:val="FFFFFF"/>
                <w:sz w:val="15"/>
                <w:szCs w:val="15"/>
              </w:rPr>
              <w:t xml:space="preserve">Period</w:t>
            </w:r>
          </w:p>
        </w:tc>
        <w:tc>
          <w:tcPr>
            <w:tcW w:type="dxa" w:w="1966"/>
            <w:tcBorders>
              <w:top w:val="single" w:color="C5CDD6" w:sz="4"/>
              <w:left w:val="single" w:color="C5CDD6" w:sz="4"/>
              <w:bottom w:val="single" w:color="C5CDD6" w:sz="4"/>
              <w:right w:val="single" w:color="C5CDD6" w:sz="4"/>
            </w:tcBorders>
            <w:shd w:fill="1F3A5F" w:val="clear"/>
            <w:tcMar>
              <w:top w:type="dxa" w:w="50"/>
              <w:left w:type="dxa" w:w="60"/>
              <w:bottom w:type="dxa" w:w="50"/>
              <w:right w:type="dxa" w:w="60"/>
            </w:tcMar>
            <w:vAlign w:val="center"/>
          </w:tcPr>
          <w:p>
            <w:pPr>
              <w:spacing w:after="0" w:before="0"/>
              <w:jc w:val="left"/>
            </w:pPr>
            <w:r>
              <w:rPr>
                <w:rFonts w:ascii="Calibri" w:cs="Calibri" w:eastAsia="Calibri" w:hAnsi="Calibri"/>
                <w:b/>
                <w:bCs/>
                <w:i w:val="false"/>
                <w:iCs w:val="false"/>
                <w:color w:val="FFFFFF"/>
                <w:sz w:val="15"/>
                <w:szCs w:val="15"/>
              </w:rPr>
              <w:t xml:space="preserve">Target</w:t>
            </w:r>
          </w:p>
        </w:tc>
        <w:tc>
          <w:tcPr>
            <w:tcW w:type="dxa" w:w="2200"/>
            <w:tcBorders>
              <w:top w:val="single" w:color="C5CDD6" w:sz="4"/>
              <w:left w:val="single" w:color="C5CDD6" w:sz="4"/>
              <w:bottom w:val="single" w:color="C5CDD6" w:sz="4"/>
              <w:right w:val="single" w:color="C5CDD6" w:sz="4"/>
            </w:tcBorders>
            <w:shd w:fill="1F3A5F" w:val="clear"/>
            <w:tcMar>
              <w:top w:type="dxa" w:w="50"/>
              <w:left w:type="dxa" w:w="60"/>
              <w:bottom w:type="dxa" w:w="50"/>
              <w:right w:type="dxa" w:w="60"/>
            </w:tcMar>
            <w:vAlign w:val="center"/>
          </w:tcPr>
          <w:p>
            <w:pPr>
              <w:spacing w:after="0" w:before="0"/>
              <w:jc w:val="left"/>
            </w:pPr>
            <w:r>
              <w:rPr>
                <w:rFonts w:ascii="Calibri" w:cs="Calibri" w:eastAsia="Calibri" w:hAnsi="Calibri"/>
                <w:b/>
                <w:bCs/>
                <w:i w:val="false"/>
                <w:iCs w:val="false"/>
                <w:color w:val="FFFFFF"/>
                <w:sz w:val="15"/>
                <w:szCs w:val="15"/>
              </w:rPr>
              <w:t xml:space="preserve">Status / Remarks</w:t>
            </w:r>
          </w:p>
        </w:tc>
      </w:tr>
      <w:tr>
        <w:trPr>
          <w:cantSplit/>
        </w:trPr>
        <w:tc>
          <w:tcPr>
            <w:tcW w:type="dxa" w:w="25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System development and Employee User Manual v2.3</w:t>
            </w:r>
          </w:p>
        </w:tc>
        <w:tc>
          <w:tcPr>
            <w:tcW w:type="dxa" w:w="11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DVC</w:t>
            </w:r>
          </w:p>
        </w:tc>
        <w:tc>
          <w:tcPr>
            <w:tcW w:type="dxa" w:w="8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w:t>
            </w:r>
          </w:p>
        </w:tc>
        <w:tc>
          <w:tcPr>
            <w:tcW w:type="dxa" w:w="19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Completed</w:t>
            </w:r>
          </w:p>
        </w:tc>
        <w:tc>
          <w:tcPr>
            <w:tcW w:type="dxa" w:w="1966"/>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22 September 2026</w:t>
            </w:r>
          </w:p>
        </w:tc>
        <w:tc>
          <w:tcPr>
            <w:tcW w:type="dxa" w:w="22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Completed</w:t>
            </w:r>
          </w:p>
        </w:tc>
      </w:tr>
      <w:tr>
        <w:trPr>
          <w:cantSplit/>
        </w:trPr>
        <w:tc>
          <w:tcPr>
            <w:tcW w:type="dxa" w:w="25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Final verification (records review and document viewing)</w:t>
            </w:r>
          </w:p>
        </w:tc>
        <w:tc>
          <w:tcPr>
            <w:tcW w:type="dxa" w:w="11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DVC</w:t>
            </w:r>
          </w:p>
        </w:tc>
        <w:tc>
          <w:tcPr>
            <w:tcW w:type="dxa" w:w="8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1</w:t>
            </w:r>
          </w:p>
        </w:tc>
        <w:tc>
          <w:tcPr>
            <w:tcW w:type="dxa" w:w="19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23 September 2026</w:t>
            </w:r>
          </w:p>
        </w:tc>
        <w:tc>
          <w:tcPr>
            <w:tcW w:type="dxa" w:w="1966"/>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23 September 2026</w:t>
            </w:r>
          </w:p>
        </w:tc>
        <w:tc>
          <w:tcPr>
            <w:tcW w:type="dxa" w:w="22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Completed</w:t>
            </w:r>
          </w:p>
        </w:tc>
      </w:tr>
      <w:tr>
        <w:trPr>
          <w:cantSplit/>
        </w:trPr>
        <w:tc>
          <w:tcPr>
            <w:tcW w:type="dxa" w:w="25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User Acceptance Testing</w:t>
            </w:r>
          </w:p>
        </w:tc>
        <w:tc>
          <w:tcPr>
            <w:tcW w:type="dxa" w:w="11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NMP</w:t>
            </w:r>
          </w:p>
        </w:tc>
        <w:tc>
          <w:tcPr>
            <w:tcW w:type="dxa" w:w="8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5</w:t>
            </w:r>
          </w:p>
        </w:tc>
        <w:tc>
          <w:tcPr>
            <w:tcW w:type="dxa" w:w="19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24–30 September 2026</w:t>
            </w:r>
          </w:p>
        </w:tc>
        <w:tc>
          <w:tcPr>
            <w:tcW w:type="dxa" w:w="1966"/>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30 September 2026</w:t>
            </w:r>
          </w:p>
        </w:tc>
        <w:tc>
          <w:tcPr>
            <w:tcW w:type="dxa" w:w="22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Not started. Pending NMP confirmation.</w:t>
            </w:r>
          </w:p>
        </w:tc>
      </w:tr>
      <w:tr>
        <w:trPr>
          <w:cantSplit/>
        </w:trPr>
        <w:tc>
          <w:tcPr>
            <w:tcW w:type="dxa" w:w="25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End-user training (Super Admin, Admin, Record Admin, Staff)</w:t>
            </w:r>
          </w:p>
        </w:tc>
        <w:tc>
          <w:tcPr>
            <w:tcW w:type="dxa" w:w="11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DVC</w:t>
            </w:r>
          </w:p>
        </w:tc>
        <w:tc>
          <w:tcPr>
            <w:tcW w:type="dxa" w:w="8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3</w:t>
            </w:r>
          </w:p>
        </w:tc>
        <w:tc>
          <w:tcPr>
            <w:tcW w:type="dxa" w:w="19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1–3 October 2026</w:t>
            </w:r>
          </w:p>
        </w:tc>
        <w:tc>
          <w:tcPr>
            <w:tcW w:type="dxa" w:w="1966"/>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3 October 2026</w:t>
            </w:r>
          </w:p>
        </w:tc>
        <w:tc>
          <w:tcPr>
            <w:tcW w:type="dxa" w:w="22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Not started. Follows UAT.</w:t>
            </w:r>
          </w:p>
        </w:tc>
      </w:tr>
      <w:tr>
        <w:trPr>
          <w:cantSplit/>
        </w:trPr>
        <w:tc>
          <w:tcPr>
            <w:tcW w:type="dxa" w:w="25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Official go-live</w:t>
            </w:r>
          </w:p>
        </w:tc>
        <w:tc>
          <w:tcPr>
            <w:tcW w:type="dxa" w:w="11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DVC / NMP</w:t>
            </w:r>
          </w:p>
        </w:tc>
        <w:tc>
          <w:tcPr>
            <w:tcW w:type="dxa" w:w="8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1</w:t>
            </w:r>
          </w:p>
        </w:tc>
        <w:tc>
          <w:tcPr>
            <w:tcW w:type="dxa" w:w="19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6 October 2026</w:t>
            </w:r>
          </w:p>
        </w:tc>
        <w:tc>
          <w:tcPr>
            <w:tcW w:type="dxa" w:w="1966"/>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6 October 2026</w:t>
            </w:r>
          </w:p>
        </w:tc>
        <w:tc>
          <w:tcPr>
            <w:tcW w:type="dxa" w:w="22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Not started. Follows training and acceptance.</w:t>
            </w:r>
          </w:p>
        </w:tc>
      </w:tr>
    </w:tbl>
    <w:p>
      <w:pPr>
        <w:pBdr>
          <w:bottom w:val="single" w:color="1F3A5F" w:sz="8" w:space="1"/>
        </w:pBdr>
        <w:spacing w:after="120" w:before="280"/>
      </w:pPr>
      <w:r>
        <w:rPr>
          <w:rFonts w:ascii="Calibri" w:cs="Calibri" w:eastAsia="Calibri" w:hAnsi="Calibri"/>
          <w:b/>
          <w:bCs/>
          <w:i w:val="false"/>
          <w:iCs w:val="false"/>
          <w:color w:val="1F3A5F"/>
          <w:sz w:val="24"/>
          <w:szCs w:val="24"/>
        </w:rPr>
        <w:t xml:space="preserve">Ongoing and Upcoming Activities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620"/>
        <w:gridCol w:w="2500"/>
        <w:gridCol w:w="1100"/>
        <w:gridCol w:w="780"/>
        <w:gridCol w:w="1900"/>
        <w:gridCol w:w="1766"/>
        <w:gridCol w:w="1800"/>
      </w:tblGrid>
      <w:tr>
        <w:trPr>
          <w:cantSplit/>
          <w:tblHeader/>
        </w:trPr>
        <w:tc>
          <w:tcPr>
            <w:tcW w:type="dxa" w:w="620"/>
            <w:tcBorders>
              <w:top w:val="single" w:color="C5CDD6" w:sz="4"/>
              <w:left w:val="single" w:color="C5CDD6" w:sz="4"/>
              <w:bottom w:val="single" w:color="C5CDD6" w:sz="4"/>
              <w:right w:val="single" w:color="C5CDD6" w:sz="4"/>
            </w:tcBorders>
            <w:shd w:fill="1F3A5F" w:val="clear"/>
            <w:tcMar>
              <w:top w:type="dxa" w:w="50"/>
              <w:left w:type="dxa" w:w="60"/>
              <w:bottom w:type="dxa" w:w="50"/>
              <w:right w:type="dxa" w:w="60"/>
            </w:tcMar>
            <w:vAlign w:val="center"/>
          </w:tcPr>
          <w:p>
            <w:pPr>
              <w:spacing w:after="0" w:before="0"/>
              <w:jc w:val="left"/>
            </w:pPr>
            <w:r>
              <w:rPr>
                <w:rFonts w:ascii="Calibri" w:cs="Calibri" w:eastAsia="Calibri" w:hAnsi="Calibri"/>
                <w:b/>
                <w:bCs/>
                <w:i w:val="false"/>
                <w:iCs w:val="false"/>
                <w:color w:val="FFFFFF"/>
                <w:sz w:val="15"/>
                <w:szCs w:val="15"/>
              </w:rPr>
              <w:t xml:space="preserve">Item No.</w:t>
            </w:r>
          </w:p>
        </w:tc>
        <w:tc>
          <w:tcPr>
            <w:tcW w:type="dxa" w:w="2500"/>
            <w:tcBorders>
              <w:top w:val="single" w:color="C5CDD6" w:sz="4"/>
              <w:left w:val="single" w:color="C5CDD6" w:sz="4"/>
              <w:bottom w:val="single" w:color="C5CDD6" w:sz="4"/>
              <w:right w:val="single" w:color="C5CDD6" w:sz="4"/>
            </w:tcBorders>
            <w:shd w:fill="1F3A5F" w:val="clear"/>
            <w:tcMar>
              <w:top w:type="dxa" w:w="50"/>
              <w:left w:type="dxa" w:w="60"/>
              <w:bottom w:type="dxa" w:w="50"/>
              <w:right w:type="dxa" w:w="60"/>
            </w:tcMar>
            <w:vAlign w:val="center"/>
          </w:tcPr>
          <w:p>
            <w:pPr>
              <w:spacing w:after="0" w:before="0"/>
              <w:jc w:val="left"/>
            </w:pPr>
            <w:r>
              <w:rPr>
                <w:rFonts w:ascii="Calibri" w:cs="Calibri" w:eastAsia="Calibri" w:hAnsi="Calibri"/>
                <w:b/>
                <w:bCs/>
                <w:i w:val="false"/>
                <w:iCs w:val="false"/>
                <w:color w:val="FFFFFF"/>
                <w:sz w:val="15"/>
                <w:szCs w:val="15"/>
              </w:rPr>
              <w:t xml:space="preserve">Activity</w:t>
            </w:r>
          </w:p>
        </w:tc>
        <w:tc>
          <w:tcPr>
            <w:tcW w:type="dxa" w:w="1100"/>
            <w:tcBorders>
              <w:top w:val="single" w:color="C5CDD6" w:sz="4"/>
              <w:left w:val="single" w:color="C5CDD6" w:sz="4"/>
              <w:bottom w:val="single" w:color="C5CDD6" w:sz="4"/>
              <w:right w:val="single" w:color="C5CDD6" w:sz="4"/>
            </w:tcBorders>
            <w:shd w:fill="1F3A5F" w:val="clear"/>
            <w:tcMar>
              <w:top w:type="dxa" w:w="50"/>
              <w:left w:type="dxa" w:w="60"/>
              <w:bottom w:type="dxa" w:w="50"/>
              <w:right w:type="dxa" w:w="60"/>
            </w:tcMar>
            <w:vAlign w:val="center"/>
          </w:tcPr>
          <w:p>
            <w:pPr>
              <w:spacing w:after="0" w:before="0"/>
              <w:jc w:val="left"/>
            </w:pPr>
            <w:r>
              <w:rPr>
                <w:rFonts w:ascii="Calibri" w:cs="Calibri" w:eastAsia="Calibri" w:hAnsi="Calibri"/>
                <w:b/>
                <w:bCs/>
                <w:i w:val="false"/>
                <w:iCs w:val="false"/>
                <w:color w:val="FFFFFF"/>
                <w:sz w:val="15"/>
                <w:szCs w:val="15"/>
              </w:rPr>
              <w:t xml:space="preserve">Responsible</w:t>
            </w:r>
          </w:p>
        </w:tc>
        <w:tc>
          <w:tcPr>
            <w:tcW w:type="dxa" w:w="780"/>
            <w:tcBorders>
              <w:top w:val="single" w:color="C5CDD6" w:sz="4"/>
              <w:left w:val="single" w:color="C5CDD6" w:sz="4"/>
              <w:bottom w:val="single" w:color="C5CDD6" w:sz="4"/>
              <w:right w:val="single" w:color="C5CDD6" w:sz="4"/>
            </w:tcBorders>
            <w:shd w:fill="1F3A5F" w:val="clear"/>
            <w:tcMar>
              <w:top w:type="dxa" w:w="50"/>
              <w:left w:type="dxa" w:w="60"/>
              <w:bottom w:type="dxa" w:w="50"/>
              <w:right w:type="dxa" w:w="60"/>
            </w:tcMar>
            <w:vAlign w:val="center"/>
          </w:tcPr>
          <w:p>
            <w:pPr>
              <w:spacing w:after="0" w:before="0"/>
              <w:jc w:val="left"/>
            </w:pPr>
            <w:r>
              <w:rPr>
                <w:rFonts w:ascii="Calibri" w:cs="Calibri" w:eastAsia="Calibri" w:hAnsi="Calibri"/>
                <w:b/>
                <w:bCs/>
                <w:i w:val="false"/>
                <w:iCs w:val="false"/>
                <w:color w:val="FFFFFF"/>
                <w:sz w:val="15"/>
                <w:szCs w:val="15"/>
              </w:rPr>
              <w:t xml:space="preserve">No. of Days</w:t>
            </w:r>
          </w:p>
        </w:tc>
        <w:tc>
          <w:tcPr>
            <w:tcW w:type="dxa" w:w="1900"/>
            <w:tcBorders>
              <w:top w:val="single" w:color="C5CDD6" w:sz="4"/>
              <w:left w:val="single" w:color="C5CDD6" w:sz="4"/>
              <w:bottom w:val="single" w:color="C5CDD6" w:sz="4"/>
              <w:right w:val="single" w:color="C5CDD6" w:sz="4"/>
            </w:tcBorders>
            <w:shd w:fill="1F3A5F" w:val="clear"/>
            <w:tcMar>
              <w:top w:type="dxa" w:w="50"/>
              <w:left w:type="dxa" w:w="60"/>
              <w:bottom w:type="dxa" w:w="50"/>
              <w:right w:type="dxa" w:w="60"/>
            </w:tcMar>
            <w:vAlign w:val="center"/>
          </w:tcPr>
          <w:p>
            <w:pPr>
              <w:spacing w:after="0" w:before="0"/>
              <w:jc w:val="left"/>
            </w:pPr>
            <w:r>
              <w:rPr>
                <w:rFonts w:ascii="Calibri" w:cs="Calibri" w:eastAsia="Calibri" w:hAnsi="Calibri"/>
                <w:b/>
                <w:bCs/>
                <w:i w:val="false"/>
                <w:iCs w:val="false"/>
                <w:color w:val="FFFFFF"/>
                <w:sz w:val="15"/>
                <w:szCs w:val="15"/>
              </w:rPr>
              <w:t xml:space="preserve">Period</w:t>
            </w:r>
          </w:p>
        </w:tc>
        <w:tc>
          <w:tcPr>
            <w:tcW w:type="dxa" w:w="1766"/>
            <w:tcBorders>
              <w:top w:val="single" w:color="C5CDD6" w:sz="4"/>
              <w:left w:val="single" w:color="C5CDD6" w:sz="4"/>
              <w:bottom w:val="single" w:color="C5CDD6" w:sz="4"/>
              <w:right w:val="single" w:color="C5CDD6" w:sz="4"/>
            </w:tcBorders>
            <w:shd w:fill="1F3A5F" w:val="clear"/>
            <w:tcMar>
              <w:top w:type="dxa" w:w="50"/>
              <w:left w:type="dxa" w:w="60"/>
              <w:bottom w:type="dxa" w:w="50"/>
              <w:right w:type="dxa" w:w="60"/>
            </w:tcMar>
            <w:vAlign w:val="center"/>
          </w:tcPr>
          <w:p>
            <w:pPr>
              <w:spacing w:after="0" w:before="0"/>
              <w:jc w:val="left"/>
            </w:pPr>
            <w:r>
              <w:rPr>
                <w:rFonts w:ascii="Calibri" w:cs="Calibri" w:eastAsia="Calibri" w:hAnsi="Calibri"/>
                <w:b/>
                <w:bCs/>
                <w:i w:val="false"/>
                <w:iCs w:val="false"/>
                <w:color w:val="FFFFFF"/>
                <w:sz w:val="15"/>
                <w:szCs w:val="15"/>
              </w:rPr>
              <w:t xml:space="preserve">Status</w:t>
            </w:r>
          </w:p>
        </w:tc>
        <w:tc>
          <w:tcPr>
            <w:tcW w:type="dxa" w:w="1800"/>
            <w:tcBorders>
              <w:top w:val="single" w:color="C5CDD6" w:sz="4"/>
              <w:left w:val="single" w:color="C5CDD6" w:sz="4"/>
              <w:bottom w:val="single" w:color="C5CDD6" w:sz="4"/>
              <w:right w:val="single" w:color="C5CDD6" w:sz="4"/>
            </w:tcBorders>
            <w:shd w:fill="1F3A5F" w:val="clear"/>
            <w:tcMar>
              <w:top w:type="dxa" w:w="50"/>
              <w:left w:type="dxa" w:w="60"/>
              <w:bottom w:type="dxa" w:w="50"/>
              <w:right w:type="dxa" w:w="60"/>
            </w:tcMar>
            <w:vAlign w:val="center"/>
          </w:tcPr>
          <w:p>
            <w:pPr>
              <w:spacing w:after="0" w:before="0"/>
              <w:jc w:val="left"/>
            </w:pPr>
            <w:r>
              <w:rPr>
                <w:rFonts w:ascii="Calibri" w:cs="Calibri" w:eastAsia="Calibri" w:hAnsi="Calibri"/>
                <w:b/>
                <w:bCs/>
                <w:i w:val="false"/>
                <w:iCs w:val="false"/>
                <w:color w:val="FFFFFF"/>
                <w:sz w:val="15"/>
                <w:szCs w:val="15"/>
              </w:rPr>
              <w:t xml:space="preserve">Target</w:t>
            </w:r>
          </w:p>
        </w:tc>
      </w:tr>
      <w:tr>
        <w:trPr>
          <w:cantSplit/>
        </w:trPr>
        <w:tc>
          <w:tcPr>
            <w:tcW w:type="dxa" w:w="62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1</w:t>
            </w:r>
          </w:p>
        </w:tc>
        <w:tc>
          <w:tcPr>
            <w:tcW w:type="dxa" w:w="25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User Acceptance Testing of all four portals</w:t>
            </w:r>
          </w:p>
        </w:tc>
        <w:tc>
          <w:tcPr>
            <w:tcW w:type="dxa" w:w="11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NMP</w:t>
            </w:r>
          </w:p>
        </w:tc>
        <w:tc>
          <w:tcPr>
            <w:tcW w:type="dxa" w:w="78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5</w:t>
            </w:r>
          </w:p>
        </w:tc>
        <w:tc>
          <w:tcPr>
            <w:tcW w:type="dxa" w:w="19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24–30 September 2026</w:t>
            </w:r>
          </w:p>
        </w:tc>
        <w:tc>
          <w:tcPr>
            <w:tcW w:type="dxa" w:w="1766"/>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Not started</w:t>
            </w:r>
          </w:p>
        </w:tc>
        <w:tc>
          <w:tcPr>
            <w:tcW w:type="dxa" w:w="18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30 September 2026</w:t>
            </w:r>
          </w:p>
        </w:tc>
      </w:tr>
      <w:tr>
        <w:trPr>
          <w:cantSplit/>
        </w:trPr>
        <w:tc>
          <w:tcPr>
            <w:tcW w:type="dxa" w:w="62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2</w:t>
            </w:r>
          </w:p>
        </w:tc>
        <w:tc>
          <w:tcPr>
            <w:tcW w:type="dxa" w:w="25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End-user training using the Employee User Manual v2.3</w:t>
            </w:r>
          </w:p>
        </w:tc>
        <w:tc>
          <w:tcPr>
            <w:tcW w:type="dxa" w:w="11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DVC</w:t>
            </w:r>
          </w:p>
        </w:tc>
        <w:tc>
          <w:tcPr>
            <w:tcW w:type="dxa" w:w="78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3</w:t>
            </w:r>
          </w:p>
        </w:tc>
        <w:tc>
          <w:tcPr>
            <w:tcW w:type="dxa" w:w="19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1–3 October 2026</w:t>
            </w:r>
          </w:p>
        </w:tc>
        <w:tc>
          <w:tcPr>
            <w:tcW w:type="dxa" w:w="1766"/>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Not started</w:t>
            </w:r>
          </w:p>
        </w:tc>
        <w:tc>
          <w:tcPr>
            <w:tcW w:type="dxa" w:w="18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3 October 2026</w:t>
            </w:r>
          </w:p>
        </w:tc>
      </w:tr>
      <w:tr>
        <w:trPr>
          <w:cantSplit/>
        </w:trPr>
        <w:tc>
          <w:tcPr>
            <w:tcW w:type="dxa" w:w="62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3</w:t>
            </w:r>
          </w:p>
        </w:tc>
        <w:tc>
          <w:tcPr>
            <w:tcW w:type="dxa" w:w="25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Acceptance of UAT findings, if any, and official go-live</w:t>
            </w:r>
          </w:p>
        </w:tc>
        <w:tc>
          <w:tcPr>
            <w:tcW w:type="dxa" w:w="11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DVC / NMP</w:t>
            </w:r>
          </w:p>
        </w:tc>
        <w:tc>
          <w:tcPr>
            <w:tcW w:type="dxa" w:w="78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1</w:t>
            </w:r>
          </w:p>
        </w:tc>
        <w:tc>
          <w:tcPr>
            <w:tcW w:type="dxa" w:w="19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6 October 2026</w:t>
            </w:r>
          </w:p>
        </w:tc>
        <w:tc>
          <w:tcPr>
            <w:tcW w:type="dxa" w:w="1766"/>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Not started</w:t>
            </w:r>
          </w:p>
        </w:tc>
        <w:tc>
          <w:tcPr>
            <w:tcW w:type="dxa" w:w="18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6 October 2026</w:t>
            </w:r>
          </w:p>
        </w:tc>
      </w:tr>
    </w:tbl>
    <w:p>
      <w:pPr>
        <w:pBdr>
          <w:bottom w:val="single" w:color="1F3A5F" w:sz="8" w:space="1"/>
        </w:pBdr>
        <w:spacing w:after="120" w:before="280"/>
      </w:pPr>
      <w:r>
        <w:rPr>
          <w:rFonts w:ascii="Calibri" w:cs="Calibri" w:eastAsia="Calibri" w:hAnsi="Calibri"/>
          <w:b/>
          <w:bCs/>
          <w:i w:val="false"/>
          <w:iCs w:val="false"/>
          <w:color w:val="1F3A5F"/>
          <w:sz w:val="24"/>
          <w:szCs w:val="24"/>
        </w:rPr>
        <w:t xml:space="preserve">Development Progress</w:t>
      </w:r>
    </w:p>
    <w:p>
      <w:pPr>
        <w:spacing w:after="160" w:before="0" w:line="276"/>
      </w:pPr>
      <w:r>
        <w:rPr>
          <w:rFonts w:ascii="Calibri" w:cs="Calibri" w:eastAsia="Calibri" w:hAnsi="Calibri"/>
          <w:b w:val="false"/>
          <w:bCs w:val="false"/>
          <w:i w:val="false"/>
          <w:iCs w:val="false"/>
          <w:color w:val="222222"/>
          <w:sz w:val="22"/>
          <w:szCs w:val="22"/>
        </w:rPr>
        <w:t xml:space="preserve">As of 23 September 2026, development of the Support Ticketing System is complete and available for acceptance testing. The delivered scope is as follows.</w:t>
      </w:r>
    </w:p>
    <w:p>
      <w:pPr>
        <w:spacing w:after="160" w:before="0" w:line="276"/>
      </w:pPr>
      <w:r>
        <w:rPr>
          <w:rFonts w:ascii="Calibri" w:cs="Calibri" w:eastAsia="Calibri" w:hAnsi="Calibri"/>
          <w:b w:val="false"/>
          <w:bCs w:val="false"/>
          <w:i w:val="false"/>
          <w:iCs w:val="false"/>
          <w:color w:val="222222"/>
          <w:sz w:val="22"/>
          <w:szCs w:val="22"/>
        </w:rPr>
        <w:t xml:space="preserve">Super Admin manages users, roles, and permissions, and can open the Admin, Records, and Staff portals from one account. Admin builds any request form that fits the Form Builder, submits it to Records, approves requests, and assigns personnel. Records reviews pending forms and either approves and publishes them or disapproves them with remarks. Staff submit requests on published forms, take part in For Review when a form requires a Recommending Officer, Immediate Supervisor, or Action Officer, and close the request after service feedback.</w:t>
      </w:r>
    </w:p>
    <w:p>
      <w:pPr>
        <w:spacing w:after="160" w:before="0" w:line="276"/>
      </w:pPr>
      <w:r>
        <w:rPr>
          <w:rFonts w:ascii="Calibri" w:cs="Calibri" w:eastAsia="Calibri" w:hAnsi="Calibri"/>
          <w:b w:val="false"/>
          <w:bCs w:val="false"/>
          <w:i w:val="false"/>
          <w:iCs w:val="false"/>
          <w:color w:val="222222"/>
          <w:sz w:val="22"/>
          <w:szCs w:val="22"/>
        </w:rPr>
        <w:t xml:space="preserve">Requestor name, division, and related profile details fill in from PAMANA. The Employee User Manual, Version 2.3, dated 22 September 2026, is the reference for UAT and training. It covers sign-in, Form Builder, My Forms, Pending Forms, Published Forms, Approvals, Request Management, Assigned to me, For Review, Submit Request, My Requests, Service Feedback, Messages, Reports, and Settings.</w:t>
      </w:r>
    </w:p>
    <w:p>
      <w:pPr>
        <w:pBdr>
          <w:bottom w:val="single" w:color="1F3A5F" w:sz="8" w:space="1"/>
        </w:pBdr>
        <w:spacing w:after="120" w:before="280"/>
      </w:pPr>
      <w:r>
        <w:rPr>
          <w:rFonts w:ascii="Calibri" w:cs="Calibri" w:eastAsia="Calibri" w:hAnsi="Calibri"/>
          <w:b/>
          <w:bCs/>
          <w:i w:val="false"/>
          <w:iCs w:val="false"/>
          <w:color w:val="1F3A5F"/>
          <w:sz w:val="24"/>
          <w:szCs w:val="24"/>
        </w:rPr>
        <w:t xml:space="preserve">Requested from NMP</w:t>
      </w:r>
    </w:p>
    <w:p>
      <w:pPr>
        <w:spacing w:after="120" w:before="0" w:line="276"/>
      </w:pPr>
      <w:r>
        <w:rPr>
          <w:rFonts w:ascii="Calibri" w:cs="Calibri" w:eastAsia="Calibri" w:hAnsi="Calibri"/>
          <w:b w:val="false"/>
          <w:bCs w:val="false"/>
          <w:i w:val="false"/>
          <w:iCs w:val="false"/>
          <w:color w:val="222222"/>
          <w:sz w:val="22"/>
          <w:szCs w:val="22"/>
        </w:rPr>
        <w:t xml:space="preserve">The items below are needed so User Acceptance Testing can start on 24 September 2026 and the 6 October 2026 go-live date can hold.</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620"/>
        <w:gridCol w:w="4300"/>
        <w:gridCol w:w="1200"/>
        <w:gridCol w:w="1800"/>
        <w:gridCol w:w="2546"/>
      </w:tblGrid>
      <w:tr>
        <w:trPr>
          <w:cantSplit/>
          <w:tblHeader/>
        </w:trPr>
        <w:tc>
          <w:tcPr>
            <w:tcW w:type="dxa" w:w="620"/>
            <w:tcBorders>
              <w:top w:val="single" w:color="C5CDD6" w:sz="4"/>
              <w:left w:val="single" w:color="C5CDD6" w:sz="4"/>
              <w:bottom w:val="single" w:color="C5CDD6" w:sz="4"/>
              <w:right w:val="single" w:color="C5CDD6" w:sz="4"/>
            </w:tcBorders>
            <w:shd w:fill="1F3A5F" w:val="clear"/>
            <w:tcMar>
              <w:top w:type="dxa" w:w="50"/>
              <w:left w:type="dxa" w:w="60"/>
              <w:bottom w:type="dxa" w:w="50"/>
              <w:right w:type="dxa" w:w="60"/>
            </w:tcMar>
            <w:vAlign w:val="center"/>
          </w:tcPr>
          <w:p>
            <w:pPr>
              <w:spacing w:after="0" w:before="0"/>
              <w:jc w:val="left"/>
            </w:pPr>
            <w:r>
              <w:rPr>
                <w:rFonts w:ascii="Calibri" w:cs="Calibri" w:eastAsia="Calibri" w:hAnsi="Calibri"/>
                <w:b/>
                <w:bCs/>
                <w:i w:val="false"/>
                <w:iCs w:val="false"/>
                <w:color w:val="FFFFFF"/>
                <w:sz w:val="15"/>
                <w:szCs w:val="15"/>
              </w:rPr>
              <w:t xml:space="preserve">Item No.</w:t>
            </w:r>
          </w:p>
        </w:tc>
        <w:tc>
          <w:tcPr>
            <w:tcW w:type="dxa" w:w="4300"/>
            <w:tcBorders>
              <w:top w:val="single" w:color="C5CDD6" w:sz="4"/>
              <w:left w:val="single" w:color="C5CDD6" w:sz="4"/>
              <w:bottom w:val="single" w:color="C5CDD6" w:sz="4"/>
              <w:right w:val="single" w:color="C5CDD6" w:sz="4"/>
            </w:tcBorders>
            <w:shd w:fill="1F3A5F" w:val="clear"/>
            <w:tcMar>
              <w:top w:type="dxa" w:w="50"/>
              <w:left w:type="dxa" w:w="60"/>
              <w:bottom w:type="dxa" w:w="50"/>
              <w:right w:type="dxa" w:w="60"/>
            </w:tcMar>
            <w:vAlign w:val="center"/>
          </w:tcPr>
          <w:p>
            <w:pPr>
              <w:spacing w:after="0" w:before="0"/>
              <w:jc w:val="left"/>
            </w:pPr>
            <w:r>
              <w:rPr>
                <w:rFonts w:ascii="Calibri" w:cs="Calibri" w:eastAsia="Calibri" w:hAnsi="Calibri"/>
                <w:b/>
                <w:bCs/>
                <w:i w:val="false"/>
                <w:iCs w:val="false"/>
                <w:color w:val="FFFFFF"/>
                <w:sz w:val="15"/>
                <w:szCs w:val="15"/>
              </w:rPr>
              <w:t xml:space="preserve">Requested item</w:t>
            </w:r>
          </w:p>
        </w:tc>
        <w:tc>
          <w:tcPr>
            <w:tcW w:type="dxa" w:w="1200"/>
            <w:tcBorders>
              <w:top w:val="single" w:color="C5CDD6" w:sz="4"/>
              <w:left w:val="single" w:color="C5CDD6" w:sz="4"/>
              <w:bottom w:val="single" w:color="C5CDD6" w:sz="4"/>
              <w:right w:val="single" w:color="C5CDD6" w:sz="4"/>
            </w:tcBorders>
            <w:shd w:fill="1F3A5F" w:val="clear"/>
            <w:tcMar>
              <w:top w:type="dxa" w:w="50"/>
              <w:left w:type="dxa" w:w="60"/>
              <w:bottom w:type="dxa" w:w="50"/>
              <w:right w:type="dxa" w:w="60"/>
            </w:tcMar>
            <w:vAlign w:val="center"/>
          </w:tcPr>
          <w:p>
            <w:pPr>
              <w:spacing w:after="0" w:before="0"/>
              <w:jc w:val="left"/>
            </w:pPr>
            <w:r>
              <w:rPr>
                <w:rFonts w:ascii="Calibri" w:cs="Calibri" w:eastAsia="Calibri" w:hAnsi="Calibri"/>
                <w:b/>
                <w:bCs/>
                <w:i w:val="false"/>
                <w:iCs w:val="false"/>
                <w:color w:val="FFFFFF"/>
                <w:sz w:val="15"/>
                <w:szCs w:val="15"/>
              </w:rPr>
              <w:t xml:space="preserve">Responsible</w:t>
            </w:r>
          </w:p>
        </w:tc>
        <w:tc>
          <w:tcPr>
            <w:tcW w:type="dxa" w:w="1800"/>
            <w:tcBorders>
              <w:top w:val="single" w:color="C5CDD6" w:sz="4"/>
              <w:left w:val="single" w:color="C5CDD6" w:sz="4"/>
              <w:bottom w:val="single" w:color="C5CDD6" w:sz="4"/>
              <w:right w:val="single" w:color="C5CDD6" w:sz="4"/>
            </w:tcBorders>
            <w:shd w:fill="1F3A5F" w:val="clear"/>
            <w:tcMar>
              <w:top w:type="dxa" w:w="50"/>
              <w:left w:type="dxa" w:w="60"/>
              <w:bottom w:type="dxa" w:w="50"/>
              <w:right w:type="dxa" w:w="60"/>
            </w:tcMar>
            <w:vAlign w:val="center"/>
          </w:tcPr>
          <w:p>
            <w:pPr>
              <w:spacing w:after="0" w:before="0"/>
              <w:jc w:val="left"/>
            </w:pPr>
            <w:r>
              <w:rPr>
                <w:rFonts w:ascii="Calibri" w:cs="Calibri" w:eastAsia="Calibri" w:hAnsi="Calibri"/>
                <w:b/>
                <w:bCs/>
                <w:i w:val="false"/>
                <w:iCs w:val="false"/>
                <w:color w:val="FFFFFF"/>
                <w:sz w:val="15"/>
                <w:szCs w:val="15"/>
              </w:rPr>
              <w:t xml:space="preserve">Date requested</w:t>
            </w:r>
          </w:p>
        </w:tc>
        <w:tc>
          <w:tcPr>
            <w:tcW w:type="dxa" w:w="2546"/>
            <w:tcBorders>
              <w:top w:val="single" w:color="C5CDD6" w:sz="4"/>
              <w:left w:val="single" w:color="C5CDD6" w:sz="4"/>
              <w:bottom w:val="single" w:color="C5CDD6" w:sz="4"/>
              <w:right w:val="single" w:color="C5CDD6" w:sz="4"/>
            </w:tcBorders>
            <w:shd w:fill="1F3A5F" w:val="clear"/>
            <w:tcMar>
              <w:top w:type="dxa" w:w="50"/>
              <w:left w:type="dxa" w:w="60"/>
              <w:bottom w:type="dxa" w:w="50"/>
              <w:right w:type="dxa" w:w="60"/>
            </w:tcMar>
            <w:vAlign w:val="center"/>
          </w:tcPr>
          <w:p>
            <w:pPr>
              <w:spacing w:after="0" w:before="0"/>
              <w:jc w:val="left"/>
            </w:pPr>
            <w:r>
              <w:rPr>
                <w:rFonts w:ascii="Calibri" w:cs="Calibri" w:eastAsia="Calibri" w:hAnsi="Calibri"/>
                <w:b/>
                <w:bCs/>
                <w:i w:val="false"/>
                <w:iCs w:val="false"/>
                <w:color w:val="FFFFFF"/>
                <w:sz w:val="15"/>
                <w:szCs w:val="15"/>
              </w:rPr>
              <w:t xml:space="preserve">Status</w:t>
            </w:r>
          </w:p>
        </w:tc>
      </w:tr>
      <w:tr>
        <w:trPr>
          <w:cantSplit/>
        </w:trPr>
        <w:tc>
          <w:tcPr>
            <w:tcW w:type="dxa" w:w="62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1</w:t>
            </w:r>
          </w:p>
        </w:tc>
        <w:tc>
          <w:tcPr>
            <w:tcW w:type="dxa" w:w="43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UAT schedule and named testers for Super Admin, Admin, Record Admin, and Staff</w:t>
            </w:r>
          </w:p>
        </w:tc>
        <w:tc>
          <w:tcPr>
            <w:tcW w:type="dxa" w:w="12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NMP</w:t>
            </w:r>
          </w:p>
        </w:tc>
        <w:tc>
          <w:tcPr>
            <w:tcW w:type="dxa" w:w="18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23 September 2026</w:t>
            </w:r>
          </w:p>
        </w:tc>
        <w:tc>
          <w:tcPr>
            <w:tcW w:type="dxa" w:w="2546"/>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Pending</w:t>
            </w:r>
          </w:p>
        </w:tc>
      </w:tr>
      <w:tr>
        <w:trPr>
          <w:cantSplit/>
        </w:trPr>
        <w:tc>
          <w:tcPr>
            <w:tcW w:type="dxa" w:w="62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2</w:t>
            </w:r>
          </w:p>
        </w:tc>
        <w:tc>
          <w:tcPr>
            <w:tcW w:type="dxa" w:w="43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Written acceptance of the delivered system, or a list of UAT findings</w:t>
            </w:r>
          </w:p>
        </w:tc>
        <w:tc>
          <w:tcPr>
            <w:tcW w:type="dxa" w:w="12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NMP</w:t>
            </w:r>
          </w:p>
        </w:tc>
        <w:tc>
          <w:tcPr>
            <w:tcW w:type="dxa" w:w="18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23 September 2026</w:t>
            </w:r>
          </w:p>
        </w:tc>
        <w:tc>
          <w:tcPr>
            <w:tcW w:type="dxa" w:w="2546"/>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Pending</w:t>
            </w:r>
          </w:p>
        </w:tc>
      </w:tr>
      <w:tr>
        <w:trPr>
          <w:cantSplit/>
        </w:trPr>
        <w:tc>
          <w:tcPr>
            <w:tcW w:type="dxa" w:w="62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3</w:t>
            </w:r>
          </w:p>
        </w:tc>
        <w:tc>
          <w:tcPr>
            <w:tcW w:type="dxa" w:w="43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Confirmed go-live date</w:t>
            </w:r>
          </w:p>
        </w:tc>
        <w:tc>
          <w:tcPr>
            <w:tcW w:type="dxa" w:w="12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NMP</w:t>
            </w:r>
          </w:p>
        </w:tc>
        <w:tc>
          <w:tcPr>
            <w:tcW w:type="dxa" w:w="1800"/>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23 September 2026</w:t>
            </w:r>
          </w:p>
        </w:tc>
        <w:tc>
          <w:tcPr>
            <w:tcW w:type="dxa" w:w="2546"/>
            <w:tcBorders>
              <w:top w:val="single" w:color="C5CDD6" w:sz="4"/>
              <w:left w:val="single" w:color="C5CDD6" w:sz="4"/>
              <w:bottom w:val="single" w:color="C5CDD6" w:sz="4"/>
              <w:right w:val="single" w:color="C5CDD6" w:sz="4"/>
            </w:tcBorders>
            <w:tcMar>
              <w:top w:type="dxa" w:w="50"/>
              <w:left w:type="dxa" w:w="60"/>
              <w:bottom w:type="dxa" w:w="50"/>
              <w:right w:type="dxa" w:w="60"/>
            </w:tcMar>
            <w:vAlign w:val="center"/>
          </w:tcPr>
          <w:p>
            <w:pPr>
              <w:spacing w:after="0" w:before="0"/>
              <w:jc w:val="left"/>
            </w:pPr>
            <w:r>
              <w:rPr>
                <w:rFonts w:ascii="Calibri" w:cs="Calibri" w:eastAsia="Calibri" w:hAnsi="Calibri"/>
                <w:b w:val="false"/>
                <w:bCs w:val="false"/>
                <w:i w:val="false"/>
                <w:iCs w:val="false"/>
                <w:color w:val="222222"/>
                <w:sz w:val="16"/>
                <w:szCs w:val="16"/>
              </w:rPr>
              <w:t xml:space="preserve">Pending</w:t>
            </w:r>
          </w:p>
        </w:tc>
      </w:tr>
    </w:tbl>
    <w:p>
      <w:pPr>
        <w:spacing w:after="280" w:before="360" w:line="276"/>
      </w:pPr>
      <w:r>
        <w:rPr>
          <w:rFonts w:ascii="Calibri" w:cs="Calibri" w:eastAsia="Calibri" w:hAnsi="Calibri"/>
          <w:b w:val="false"/>
          <w:bCs w:val="false"/>
          <w:i w:val="false"/>
          <w:iCs w:val="false"/>
          <w:color w:val="222222"/>
          <w:sz w:val="22"/>
          <w:szCs w:val="22"/>
        </w:rPr>
        <w:t xml:space="preserve">Sincerely,</w:t>
      </w:r>
    </w:p>
    <w:p>
      <w:pPr>
        <w:spacing w:after="0" w:before="0" w:line="276"/>
      </w:pPr>
      <w:r>
        <w:rPr>
          <w:rFonts w:ascii="Calibri" w:cs="Calibri" w:eastAsia="Calibri" w:hAnsi="Calibri"/>
          <w:b/>
          <w:bCs/>
          <w:i w:val="false"/>
          <w:iCs w:val="false"/>
          <w:color w:val="222222"/>
          <w:sz w:val="22"/>
          <w:szCs w:val="22"/>
        </w:rPr>
        <w:t xml:space="preserve">John Paul Dl. Sarno</w:t>
      </w:r>
    </w:p>
    <w:p>
      <w:pPr>
        <w:spacing w:after="0" w:before="0" w:line="276"/>
      </w:pPr>
      <w:r>
        <w:rPr>
          <w:rFonts w:ascii="Calibri" w:cs="Calibri" w:eastAsia="Calibri" w:hAnsi="Calibri"/>
          <w:b w:val="false"/>
          <w:bCs w:val="false"/>
          <w:i w:val="false"/>
          <w:iCs w:val="false"/>
          <w:color w:val="5C6770"/>
          <w:sz w:val="22"/>
          <w:szCs w:val="22"/>
        </w:rPr>
        <w:t xml:space="preserve">Project Manager</w:t>
      </w:r>
    </w:p>
    <w:sectPr>
      <w:headerReference w:type="default" r:id="rId7"/>
      <w:footerReference w:type="default" r:id="rId8"/>
      <w:pgSz w:w="11906" w:h="16838" w:orient="portrait"/>
      <w:pgMar w:top="900" w:right="720" w:bottom="800" w:left="720" w:header="360" w:footer="3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5CDD6" w:sz="6" w:space="8"/>
      </w:pBdr>
      <w:spacing w:before="80"/>
      <w:jc w:val="right"/>
    </w:pPr>
    <w:r>
      <w:rPr>
        <w:rFonts w:ascii="Calibri" w:cs="Calibri" w:eastAsia="Calibri" w:hAnsi="Calibri"/>
        <w:b w:val="false"/>
        <w:bCs w:val="false"/>
        <w:i w:val="false"/>
        <w:iCs w:val="false"/>
        <w:color w:val="5C6770"/>
        <w:sz w:val="16"/>
        <w:szCs w:val="16"/>
      </w:rPr>
      <w:t xml:space="preserve">NMP Support Ticketing System  ·  Progress Report  ·  Page </w:t>
    </w:r>
    <w:r>
      <w:rPr>
        <w:rFonts w:ascii="Calibri" w:cs="Calibri" w:eastAsia="Calibri" w:hAnsi="Calibri"/>
        <w:color w:val="5C6770"/>
        <w:sz w:val="16"/>
        <w:szCs w:val="16"/>
      </w:rPr>
      <w:fldChar w:fldCharType="begin"/>
      <w:instrText xml:space="preserve">PAGE</w:instrText>
      <w:fldChar w:fldCharType="separate"/>
      <w:fldChar w:fldCharType="end"/>
    </w:r>
    <w:r>
      <w:rPr>
        <w:rFonts w:ascii="Calibri" w:cs="Calibri" w:eastAsia="Calibri" w:hAnsi="Calibri"/>
        <w:b w:val="false"/>
        <w:bCs w:val="false"/>
        <w:i w:val="false"/>
        <w:iCs w:val="false"/>
        <w:color w:val="5C6770"/>
        <w:sz w:val="16"/>
        <w:szCs w:val="16"/>
      </w:rPr>
      <w:t xml:space="preserve"> of </w:t>
    </w:r>
    <w:r>
      <w:rPr>
        <w:rFonts w:ascii="Calibri" w:cs="Calibri" w:eastAsia="Calibri" w:hAnsi="Calibri"/>
        <w:color w:val="5C67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20"/>
    </w:pPr>
    <w:r>
      <w:rPr>
        <w:rFonts w:ascii="Calibri" w:cs="Calibri" w:eastAsia="Calibri" w:hAnsi="Calibri"/>
        <w:b/>
        <w:bCs/>
        <w:i w:val="false"/>
        <w:iCs w:val="false"/>
        <w:color w:val="1F3A5F"/>
        <w:sz w:val="28"/>
        <w:szCs w:val="28"/>
      </w:rPr>
      <w:t xml:space="preserve">DA VINCI COLORS</w:t>
    </w:r>
  </w:p>
  <w:p>
    <w:pPr>
      <w:spacing w:after="0"/>
    </w:pPr>
    <w:r>
      <w:rPr>
        <w:rFonts w:ascii="Calibri" w:cs="Calibri" w:eastAsia="Calibri" w:hAnsi="Calibri"/>
        <w:b w:val="false"/>
        <w:bCs w:val="false"/>
        <w:i w:val="false"/>
        <w:iCs w:val="false"/>
        <w:color w:val="5C6770"/>
        <w:sz w:val="15"/>
        <w:szCs w:val="15"/>
      </w:rPr>
      <w:t xml:space="preserve">www.davincicolors.ph   ·   dvcinfo@davincicolors.ph   ·   +632 8921 7715</w:t>
    </w:r>
  </w:p>
  <w:p>
    <w:pPr>
      <w:pBdr>
        <w:bottom w:val="single" w:color="1F3A5F" w:sz="12" w:space="4"/>
      </w:pBdr>
      <w:spacing w:after="80"/>
    </w:pPr>
    <w:r>
      <w:rPr>
        <w:rFonts w:ascii="Calibri" w:cs="Calibri" w:eastAsia="Calibri" w:hAnsi="Calibri"/>
        <w:b w:val="false"/>
        <w:bCs w:val="false"/>
        <w:i w:val="false"/>
        <w:iCs w:val="false"/>
        <w:color w:val="5C6770"/>
        <w:sz w:val="15"/>
        <w:szCs w:val="15"/>
      </w:rPr>
      <w:t xml:space="preserve">Ground Floor, Esna Building, 30 Timog Avenue, Quezon City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2026-09-23T00:47:40.931Z</dcterms:created>
  <dcterms:modified xsi:type="dcterms:W3CDTF">2026-09-23T00:47:40.931Z</dcterms:modified>
</cp:coreProperties>
</file>

<file path=docProps/custom.xml><?xml version="1.0" encoding="utf-8"?>
<Properties xmlns="http://schemas.openxmlformats.org/officeDocument/2006/custom-properties" xmlns:vt="http://schemas.openxmlformats.org/officeDocument/2006/docPropsVTypes"/>
</file>