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2A79" w14:textId="7428643D" w:rsidR="00EA39E6" w:rsidRDefault="00EA39E6" w:rsidP="00EA39E6">
      <w:pPr>
        <w:spacing w:after="0"/>
        <w:jc w:val="center"/>
        <w:rPr>
          <w:rFonts w:cs="Times New Roman"/>
          <w:b/>
          <w:iCs/>
          <w:szCs w:val="24"/>
        </w:rPr>
      </w:pPr>
      <w:bookmarkStart w:id="0" w:name="_Toc139658856"/>
      <w:bookmarkStart w:id="1" w:name="_Toc145946857"/>
      <w:bookmarkStart w:id="2" w:name="_Hlk148819020"/>
      <w:r w:rsidRPr="00EA39E6">
        <w:rPr>
          <w:rFonts w:cs="Times New Roman"/>
          <w:b/>
          <w:iCs/>
          <w:szCs w:val="24"/>
        </w:rPr>
        <w:t>Data Dictionary</w:t>
      </w:r>
    </w:p>
    <w:p w14:paraId="114BE9E0" w14:textId="77777777" w:rsidR="00361CB5" w:rsidRDefault="00361CB5" w:rsidP="00EA39E6">
      <w:pPr>
        <w:spacing w:after="0"/>
        <w:jc w:val="center"/>
        <w:rPr>
          <w:rFonts w:cs="Times New Roman"/>
          <w:b/>
          <w:iCs/>
          <w:szCs w:val="24"/>
        </w:rPr>
      </w:pPr>
    </w:p>
    <w:p w14:paraId="52F4BC5D" w14:textId="77777777" w:rsidR="00361CB5" w:rsidRPr="00EA39E6" w:rsidRDefault="00361CB5" w:rsidP="00EA39E6">
      <w:pPr>
        <w:spacing w:after="0"/>
        <w:jc w:val="center"/>
        <w:rPr>
          <w:rFonts w:cs="Times New Roman"/>
          <w:b/>
          <w:iCs/>
          <w:szCs w:val="24"/>
        </w:rPr>
      </w:pPr>
    </w:p>
    <w:p w14:paraId="3211E8F7" w14:textId="4826E7D1" w:rsidR="00762AE3" w:rsidRPr="00EA39E6" w:rsidRDefault="00762AE3" w:rsidP="00762AE3">
      <w:pPr>
        <w:spacing w:after="0"/>
        <w:rPr>
          <w:rFonts w:cs="Times New Roman"/>
          <w:bCs/>
          <w:iCs/>
          <w:sz w:val="22"/>
        </w:rPr>
      </w:pPr>
      <w:r w:rsidRPr="00EA39E6">
        <w:rPr>
          <w:rFonts w:cs="Times New Roman"/>
          <w:b/>
          <w:iCs/>
          <w:sz w:val="22"/>
        </w:rPr>
        <w:t xml:space="preserve">Table </w:t>
      </w:r>
      <w:r w:rsidRPr="00EA39E6">
        <w:rPr>
          <w:rFonts w:cs="Times New Roman"/>
          <w:b/>
          <w:iCs/>
          <w:sz w:val="22"/>
        </w:rPr>
        <w:fldChar w:fldCharType="begin"/>
      </w:r>
      <w:r w:rsidRPr="00EA39E6">
        <w:rPr>
          <w:rFonts w:cs="Times New Roman"/>
          <w:b/>
          <w:iCs/>
          <w:sz w:val="22"/>
        </w:rPr>
        <w:instrText xml:space="preserve"> SEQ Table \* ARABIC \s 1 </w:instrText>
      </w:r>
      <w:r w:rsidRPr="00EA39E6">
        <w:rPr>
          <w:rFonts w:cs="Times New Roman"/>
          <w:b/>
          <w:iCs/>
          <w:sz w:val="22"/>
        </w:rPr>
        <w:fldChar w:fldCharType="separate"/>
      </w:r>
      <w:r w:rsidRPr="00EA39E6">
        <w:rPr>
          <w:rFonts w:cs="Times New Roman"/>
          <w:b/>
          <w:iCs/>
          <w:noProof/>
          <w:sz w:val="22"/>
        </w:rPr>
        <w:t>1</w:t>
      </w:r>
      <w:r w:rsidRPr="00EA39E6">
        <w:rPr>
          <w:rFonts w:cs="Times New Roman"/>
          <w:sz w:val="22"/>
        </w:rPr>
        <w:fldChar w:fldCharType="end"/>
      </w:r>
      <w:r w:rsidRPr="00EA39E6">
        <w:rPr>
          <w:rFonts w:cs="Times New Roman"/>
          <w:b/>
          <w:bCs/>
          <w:iCs/>
          <w:sz w:val="22"/>
        </w:rPr>
        <w:t xml:space="preserve"> </w:t>
      </w:r>
      <w:r w:rsidRPr="00EA39E6">
        <w:rPr>
          <w:rFonts w:cs="Times New Roman"/>
          <w:b/>
          <w:iCs/>
          <w:sz w:val="22"/>
        </w:rPr>
        <w:t xml:space="preserve">Description of the </w:t>
      </w:r>
      <w:r w:rsidR="00BB0F38" w:rsidRPr="00EA39E6">
        <w:rPr>
          <w:rFonts w:cs="Times New Roman"/>
          <w:b/>
          <w:iCs/>
          <w:sz w:val="22"/>
        </w:rPr>
        <w:t xml:space="preserve">Segment </w:t>
      </w:r>
      <w:r w:rsidRPr="00EA39E6">
        <w:rPr>
          <w:rFonts w:cs="Times New Roman"/>
          <w:b/>
          <w:iCs/>
          <w:sz w:val="22"/>
        </w:rPr>
        <w:t>Variables</w:t>
      </w:r>
      <w:bookmarkEnd w:id="0"/>
      <w:bookmarkEnd w:id="1"/>
    </w:p>
    <w:tbl>
      <w:tblPr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7562"/>
      </w:tblGrid>
      <w:tr w:rsidR="00762AE3" w:rsidRPr="00EA39E6" w14:paraId="5424F01A" w14:textId="77777777" w:rsidTr="00F7212D">
        <w:trPr>
          <w:trHeight w:val="20"/>
          <w:tblHeader/>
        </w:trPr>
        <w:tc>
          <w:tcPr>
            <w:tcW w:w="1795" w:type="dxa"/>
          </w:tcPr>
          <w:bookmarkEnd w:id="2"/>
          <w:p w14:paraId="74232737" w14:textId="77777777" w:rsidR="00762AE3" w:rsidRPr="00EA39E6" w:rsidRDefault="00762AE3" w:rsidP="00F7212D">
            <w:pPr>
              <w:spacing w:after="0"/>
              <w:rPr>
                <w:rFonts w:cs="Times New Roman"/>
                <w:b/>
                <w:bCs/>
                <w:sz w:val="22"/>
              </w:rPr>
            </w:pPr>
            <w:r w:rsidRPr="00EA39E6">
              <w:rPr>
                <w:rFonts w:cs="Times New Roman"/>
                <w:b/>
                <w:bCs/>
                <w:sz w:val="22"/>
              </w:rPr>
              <w:t>Variable Names</w:t>
            </w:r>
          </w:p>
        </w:tc>
        <w:tc>
          <w:tcPr>
            <w:tcW w:w="7562" w:type="dxa"/>
          </w:tcPr>
          <w:p w14:paraId="03A460DF" w14:textId="77777777" w:rsidR="00762AE3" w:rsidRPr="00EA39E6" w:rsidRDefault="00762AE3" w:rsidP="00F7212D">
            <w:pPr>
              <w:spacing w:after="0"/>
              <w:rPr>
                <w:rFonts w:cs="Times New Roman"/>
                <w:b/>
                <w:bCs/>
                <w:sz w:val="22"/>
              </w:rPr>
            </w:pPr>
            <w:r w:rsidRPr="00EA39E6">
              <w:rPr>
                <w:rFonts w:cs="Times New Roman"/>
                <w:b/>
                <w:bCs/>
                <w:sz w:val="22"/>
              </w:rPr>
              <w:t>Description</w:t>
            </w:r>
          </w:p>
        </w:tc>
      </w:tr>
      <w:tr w:rsidR="00762AE3" w:rsidRPr="00EA39E6" w14:paraId="52363B03" w14:textId="77777777" w:rsidTr="00F7212D">
        <w:trPr>
          <w:trHeight w:val="20"/>
        </w:trPr>
        <w:tc>
          <w:tcPr>
            <w:tcW w:w="9357" w:type="dxa"/>
            <w:gridSpan w:val="2"/>
          </w:tcPr>
          <w:p w14:paraId="281BEBEA" w14:textId="77777777" w:rsidR="00762AE3" w:rsidRPr="00EA39E6" w:rsidRDefault="00762AE3" w:rsidP="00F7212D">
            <w:pPr>
              <w:spacing w:after="0"/>
              <w:rPr>
                <w:rFonts w:cs="Times New Roman"/>
                <w:i/>
                <w:iCs/>
                <w:sz w:val="22"/>
              </w:rPr>
            </w:pPr>
            <w:r w:rsidRPr="00EA39E6">
              <w:rPr>
                <w:rFonts w:cs="Times New Roman"/>
                <w:i/>
                <w:iCs/>
                <w:sz w:val="22"/>
              </w:rPr>
              <w:t>Dependent Variables</w:t>
            </w:r>
          </w:p>
        </w:tc>
      </w:tr>
      <w:tr w:rsidR="00762AE3" w:rsidRPr="00EA39E6" w14:paraId="57C32CB1" w14:textId="77777777" w:rsidTr="00F7212D">
        <w:trPr>
          <w:trHeight w:val="20"/>
        </w:trPr>
        <w:tc>
          <w:tcPr>
            <w:tcW w:w="1795" w:type="dxa"/>
          </w:tcPr>
          <w:p w14:paraId="0582B51D" w14:textId="77777777" w:rsidR="00762AE3" w:rsidRPr="00EA39E6" w:rsidRDefault="00762AE3" w:rsidP="00F7212D">
            <w:pPr>
              <w:spacing w:after="0"/>
              <w:rPr>
                <w:rFonts w:cs="Times New Roman"/>
                <w:color w:val="000000"/>
                <w:sz w:val="22"/>
              </w:rPr>
            </w:pPr>
            <w:proofErr w:type="spellStart"/>
            <w:r w:rsidRPr="00EA39E6">
              <w:rPr>
                <w:rFonts w:cs="Times New Roman"/>
                <w:color w:val="000000"/>
                <w:sz w:val="22"/>
              </w:rPr>
              <w:t>Tot_crash</w:t>
            </w:r>
            <w:proofErr w:type="spellEnd"/>
          </w:p>
        </w:tc>
        <w:tc>
          <w:tcPr>
            <w:tcW w:w="7562" w:type="dxa"/>
          </w:tcPr>
          <w:p w14:paraId="026AD6E8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 xml:space="preserve">Total crash count </w:t>
            </w:r>
          </w:p>
        </w:tc>
      </w:tr>
      <w:tr w:rsidR="00762AE3" w:rsidRPr="00EA39E6" w14:paraId="6A436839" w14:textId="77777777" w:rsidTr="00F7212D">
        <w:trPr>
          <w:trHeight w:val="20"/>
        </w:trPr>
        <w:tc>
          <w:tcPr>
            <w:tcW w:w="1795" w:type="dxa"/>
          </w:tcPr>
          <w:p w14:paraId="759654CC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K</w:t>
            </w:r>
          </w:p>
        </w:tc>
        <w:tc>
          <w:tcPr>
            <w:tcW w:w="7562" w:type="dxa"/>
          </w:tcPr>
          <w:p w14:paraId="2340066E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Fatal injury crash count</w:t>
            </w:r>
          </w:p>
        </w:tc>
      </w:tr>
      <w:tr w:rsidR="00762AE3" w:rsidRPr="00EA39E6" w14:paraId="28BAABFD" w14:textId="77777777" w:rsidTr="00F7212D">
        <w:trPr>
          <w:trHeight w:val="20"/>
        </w:trPr>
        <w:tc>
          <w:tcPr>
            <w:tcW w:w="1795" w:type="dxa"/>
          </w:tcPr>
          <w:p w14:paraId="370250BD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A</w:t>
            </w:r>
          </w:p>
        </w:tc>
        <w:tc>
          <w:tcPr>
            <w:tcW w:w="7562" w:type="dxa"/>
          </w:tcPr>
          <w:p w14:paraId="6EE02A10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Incapacitating injury crash count</w:t>
            </w:r>
          </w:p>
        </w:tc>
      </w:tr>
      <w:tr w:rsidR="00762AE3" w:rsidRPr="00EA39E6" w14:paraId="4F2E3E6D" w14:textId="77777777" w:rsidTr="00F7212D">
        <w:trPr>
          <w:trHeight w:val="20"/>
        </w:trPr>
        <w:tc>
          <w:tcPr>
            <w:tcW w:w="1795" w:type="dxa"/>
          </w:tcPr>
          <w:p w14:paraId="1C64CC46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B</w:t>
            </w:r>
          </w:p>
        </w:tc>
        <w:tc>
          <w:tcPr>
            <w:tcW w:w="7562" w:type="dxa"/>
          </w:tcPr>
          <w:p w14:paraId="61FD5838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Non-incapacitating injury crash count</w:t>
            </w:r>
          </w:p>
        </w:tc>
      </w:tr>
      <w:tr w:rsidR="00762AE3" w:rsidRPr="00EA39E6" w14:paraId="43F078D3" w14:textId="77777777" w:rsidTr="00F7212D">
        <w:trPr>
          <w:trHeight w:val="20"/>
        </w:trPr>
        <w:tc>
          <w:tcPr>
            <w:tcW w:w="1795" w:type="dxa"/>
          </w:tcPr>
          <w:p w14:paraId="3C1DAC85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C</w:t>
            </w:r>
          </w:p>
        </w:tc>
        <w:tc>
          <w:tcPr>
            <w:tcW w:w="7562" w:type="dxa"/>
          </w:tcPr>
          <w:p w14:paraId="59704ABF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Possible injury crash count</w:t>
            </w:r>
          </w:p>
        </w:tc>
      </w:tr>
      <w:tr w:rsidR="00762AE3" w:rsidRPr="00EA39E6" w14:paraId="70B213D3" w14:textId="77777777" w:rsidTr="00F7212D">
        <w:trPr>
          <w:trHeight w:val="20"/>
        </w:trPr>
        <w:tc>
          <w:tcPr>
            <w:tcW w:w="1795" w:type="dxa"/>
          </w:tcPr>
          <w:p w14:paraId="7B57FEA8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O</w:t>
            </w:r>
          </w:p>
        </w:tc>
        <w:tc>
          <w:tcPr>
            <w:tcW w:w="7562" w:type="dxa"/>
          </w:tcPr>
          <w:p w14:paraId="79D16239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No injury/PDO crash count</w:t>
            </w:r>
          </w:p>
        </w:tc>
      </w:tr>
      <w:tr w:rsidR="00762AE3" w:rsidRPr="00EA39E6" w14:paraId="0CDAD7C3" w14:textId="77777777" w:rsidTr="00F7212D">
        <w:trPr>
          <w:trHeight w:val="20"/>
        </w:trPr>
        <w:tc>
          <w:tcPr>
            <w:tcW w:w="1795" w:type="dxa"/>
          </w:tcPr>
          <w:p w14:paraId="7AAF6DE0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iCs/>
                <w:sz w:val="22"/>
              </w:rPr>
              <w:t>KP</w:t>
            </w:r>
            <w:r w:rsidRPr="00EA39E6">
              <w:rPr>
                <w:rFonts w:cs="Times New Roman"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37171DB1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Proportion of fatal injury crash count</w:t>
            </w:r>
          </w:p>
        </w:tc>
      </w:tr>
      <w:tr w:rsidR="00762AE3" w:rsidRPr="00EA39E6" w14:paraId="781B3A42" w14:textId="77777777" w:rsidTr="00F7212D">
        <w:trPr>
          <w:trHeight w:val="20"/>
        </w:trPr>
        <w:tc>
          <w:tcPr>
            <w:tcW w:w="1795" w:type="dxa"/>
          </w:tcPr>
          <w:p w14:paraId="4293F9C1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iCs/>
                <w:sz w:val="22"/>
              </w:rPr>
              <w:t>AP</w:t>
            </w:r>
            <w:r w:rsidRPr="00EA39E6">
              <w:rPr>
                <w:rFonts w:cs="Times New Roman"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41E13781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Proportion of incapacitating injury crash count</w:t>
            </w:r>
          </w:p>
        </w:tc>
      </w:tr>
      <w:tr w:rsidR="00762AE3" w:rsidRPr="00EA39E6" w14:paraId="0F89C8CD" w14:textId="77777777" w:rsidTr="00F7212D">
        <w:trPr>
          <w:trHeight w:val="20"/>
        </w:trPr>
        <w:tc>
          <w:tcPr>
            <w:tcW w:w="1795" w:type="dxa"/>
          </w:tcPr>
          <w:p w14:paraId="4796F37B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iCs/>
                <w:sz w:val="22"/>
              </w:rPr>
              <w:t>BP</w:t>
            </w:r>
            <w:r w:rsidRPr="00EA39E6">
              <w:rPr>
                <w:rFonts w:cs="Times New Roman"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0507991E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Proportion of non-incapacitating injury crash count</w:t>
            </w:r>
          </w:p>
        </w:tc>
      </w:tr>
      <w:tr w:rsidR="00762AE3" w:rsidRPr="00EA39E6" w14:paraId="5A6B1454" w14:textId="77777777" w:rsidTr="00F7212D">
        <w:trPr>
          <w:trHeight w:val="20"/>
        </w:trPr>
        <w:tc>
          <w:tcPr>
            <w:tcW w:w="1795" w:type="dxa"/>
          </w:tcPr>
          <w:p w14:paraId="33E91D17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iCs/>
                <w:sz w:val="22"/>
              </w:rPr>
              <w:t>CP</w:t>
            </w:r>
            <w:r w:rsidRPr="00EA39E6">
              <w:rPr>
                <w:rFonts w:cs="Times New Roman"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110DD32D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Proportion of possible injury crash count</w:t>
            </w:r>
          </w:p>
        </w:tc>
      </w:tr>
      <w:tr w:rsidR="00762AE3" w:rsidRPr="00EA39E6" w14:paraId="59AFC38E" w14:textId="77777777" w:rsidTr="00F7212D">
        <w:trPr>
          <w:trHeight w:val="20"/>
        </w:trPr>
        <w:tc>
          <w:tcPr>
            <w:tcW w:w="1795" w:type="dxa"/>
          </w:tcPr>
          <w:p w14:paraId="58F7B015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iCs/>
                <w:sz w:val="22"/>
              </w:rPr>
              <w:t>OP</w:t>
            </w:r>
          </w:p>
        </w:tc>
        <w:tc>
          <w:tcPr>
            <w:tcW w:w="7562" w:type="dxa"/>
          </w:tcPr>
          <w:p w14:paraId="312B001A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Proportion of no injury crash count</w:t>
            </w:r>
          </w:p>
        </w:tc>
      </w:tr>
      <w:tr w:rsidR="00762AE3" w:rsidRPr="00EA39E6" w14:paraId="332F35F6" w14:textId="77777777" w:rsidTr="00F7212D">
        <w:trPr>
          <w:trHeight w:val="20"/>
        </w:trPr>
        <w:tc>
          <w:tcPr>
            <w:tcW w:w="9357" w:type="dxa"/>
            <w:gridSpan w:val="2"/>
          </w:tcPr>
          <w:p w14:paraId="46EDFDD2" w14:textId="111115D8" w:rsidR="00762AE3" w:rsidRPr="00EA39E6" w:rsidRDefault="00762AE3" w:rsidP="00F7212D">
            <w:pPr>
              <w:spacing w:after="0"/>
              <w:rPr>
                <w:rFonts w:cs="Times New Roman"/>
                <w:i/>
                <w:iCs/>
                <w:sz w:val="22"/>
              </w:rPr>
            </w:pPr>
            <w:r w:rsidRPr="00EA39E6">
              <w:rPr>
                <w:rFonts w:cs="Times New Roman"/>
                <w:i/>
                <w:iCs/>
                <w:sz w:val="22"/>
              </w:rPr>
              <w:t xml:space="preserve">Independent Variables </w:t>
            </w:r>
          </w:p>
        </w:tc>
      </w:tr>
      <w:tr w:rsidR="00762AE3" w:rsidRPr="00EA39E6" w14:paraId="20EC8D42" w14:textId="77777777" w:rsidTr="00F7212D">
        <w:trPr>
          <w:trHeight w:val="20"/>
        </w:trPr>
        <w:tc>
          <w:tcPr>
            <w:tcW w:w="1795" w:type="dxa"/>
          </w:tcPr>
          <w:p w14:paraId="3535DB96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AADT</w:t>
            </w:r>
          </w:p>
        </w:tc>
        <w:tc>
          <w:tcPr>
            <w:tcW w:w="7562" w:type="dxa"/>
          </w:tcPr>
          <w:p w14:paraId="6E35CC53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Annual Average Daily Traffic</w:t>
            </w:r>
          </w:p>
        </w:tc>
      </w:tr>
      <w:tr w:rsidR="00762AE3" w:rsidRPr="00EA39E6" w14:paraId="514E3DB3" w14:textId="77777777" w:rsidTr="00F7212D">
        <w:trPr>
          <w:trHeight w:val="20"/>
        </w:trPr>
        <w:tc>
          <w:tcPr>
            <w:tcW w:w="1795" w:type="dxa"/>
          </w:tcPr>
          <w:p w14:paraId="2DF3CF41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LnAADT</w:t>
            </w:r>
            <w:proofErr w:type="spellEnd"/>
          </w:p>
        </w:tc>
        <w:tc>
          <w:tcPr>
            <w:tcW w:w="7562" w:type="dxa"/>
          </w:tcPr>
          <w:p w14:paraId="7D62C5E1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Ln (Annual Average Daily Traffic)</w:t>
            </w:r>
          </w:p>
        </w:tc>
      </w:tr>
      <w:tr w:rsidR="00762AE3" w:rsidRPr="00EA39E6" w14:paraId="7FE35BC8" w14:textId="77777777" w:rsidTr="00F7212D">
        <w:trPr>
          <w:trHeight w:val="20"/>
        </w:trPr>
        <w:tc>
          <w:tcPr>
            <w:tcW w:w="1795" w:type="dxa"/>
          </w:tcPr>
          <w:p w14:paraId="41A1EAB2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Truck_AADT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7BB5935D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Annual Average Daily Truck Traffic</w:t>
            </w:r>
          </w:p>
        </w:tc>
      </w:tr>
      <w:tr w:rsidR="00762AE3" w:rsidRPr="00EA39E6" w14:paraId="4177ED48" w14:textId="77777777" w:rsidTr="00F7212D">
        <w:trPr>
          <w:trHeight w:val="20"/>
        </w:trPr>
        <w:tc>
          <w:tcPr>
            <w:tcW w:w="1795" w:type="dxa"/>
          </w:tcPr>
          <w:p w14:paraId="5044F161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Ln_TruckAADT</w:t>
            </w:r>
            <w:proofErr w:type="spellEnd"/>
          </w:p>
        </w:tc>
        <w:tc>
          <w:tcPr>
            <w:tcW w:w="7562" w:type="dxa"/>
          </w:tcPr>
          <w:p w14:paraId="7FECFB76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Ln (Annual Average Daily Truck Traffic)</w:t>
            </w:r>
          </w:p>
        </w:tc>
      </w:tr>
      <w:tr w:rsidR="00762AE3" w:rsidRPr="00EA39E6" w14:paraId="1DE90EE6" w14:textId="77777777" w:rsidTr="00F7212D">
        <w:trPr>
          <w:trHeight w:val="20"/>
        </w:trPr>
        <w:tc>
          <w:tcPr>
            <w:tcW w:w="1795" w:type="dxa"/>
          </w:tcPr>
          <w:p w14:paraId="30D6B01C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r w:rsidRPr="00EA39E6">
              <w:rPr>
                <w:rFonts w:cs="Times New Roman"/>
                <w:sz w:val="22"/>
              </w:rPr>
              <w:t>%Truck</w:t>
            </w:r>
          </w:p>
        </w:tc>
        <w:tc>
          <w:tcPr>
            <w:tcW w:w="7562" w:type="dxa"/>
          </w:tcPr>
          <w:p w14:paraId="372EEA8E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% Total truck traffic in AADT</w:t>
            </w:r>
          </w:p>
        </w:tc>
      </w:tr>
      <w:tr w:rsidR="00762AE3" w:rsidRPr="00EA39E6" w14:paraId="56913D2C" w14:textId="77777777" w:rsidTr="00F7212D">
        <w:trPr>
          <w:trHeight w:val="20"/>
        </w:trPr>
        <w:tc>
          <w:tcPr>
            <w:tcW w:w="1795" w:type="dxa"/>
          </w:tcPr>
          <w:p w14:paraId="10ED41B5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r w:rsidRPr="00EA39E6">
              <w:rPr>
                <w:rFonts w:cs="Times New Roman"/>
                <w:sz w:val="22"/>
              </w:rPr>
              <w:t>%SUT</w:t>
            </w:r>
          </w:p>
        </w:tc>
        <w:tc>
          <w:tcPr>
            <w:tcW w:w="7562" w:type="dxa"/>
          </w:tcPr>
          <w:p w14:paraId="78FE8069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% Single unit truck traffic in AADT</w:t>
            </w:r>
          </w:p>
        </w:tc>
      </w:tr>
      <w:tr w:rsidR="00762AE3" w:rsidRPr="00EA39E6" w14:paraId="68583759" w14:textId="77777777" w:rsidTr="00F7212D">
        <w:trPr>
          <w:trHeight w:val="20"/>
        </w:trPr>
        <w:tc>
          <w:tcPr>
            <w:tcW w:w="1795" w:type="dxa"/>
          </w:tcPr>
          <w:p w14:paraId="1CE492BC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HTZ</w:t>
            </w:r>
          </w:p>
        </w:tc>
        <w:tc>
          <w:tcPr>
            <w:tcW w:w="7562" w:type="dxa"/>
          </w:tcPr>
          <w:p w14:paraId="07DDF04C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located at high truck zone and 0 otherwise</w:t>
            </w:r>
          </w:p>
        </w:tc>
      </w:tr>
      <w:tr w:rsidR="00762AE3" w:rsidRPr="00EA39E6" w14:paraId="41F80473" w14:textId="77777777" w:rsidTr="00F7212D">
        <w:trPr>
          <w:trHeight w:val="20"/>
        </w:trPr>
        <w:tc>
          <w:tcPr>
            <w:tcW w:w="1795" w:type="dxa"/>
          </w:tcPr>
          <w:p w14:paraId="1B5043D3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sz w:val="22"/>
              </w:rPr>
              <w:t>Seg_Length</w:t>
            </w:r>
            <w:proofErr w:type="spellEnd"/>
          </w:p>
        </w:tc>
        <w:tc>
          <w:tcPr>
            <w:tcW w:w="7562" w:type="dxa"/>
          </w:tcPr>
          <w:p w14:paraId="7146BE1B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Length of the segment, miles</w:t>
            </w:r>
          </w:p>
        </w:tc>
      </w:tr>
      <w:tr w:rsidR="00762AE3" w:rsidRPr="00EA39E6" w14:paraId="72290CBD" w14:textId="77777777" w:rsidTr="00F7212D">
        <w:trPr>
          <w:trHeight w:val="20"/>
        </w:trPr>
        <w:tc>
          <w:tcPr>
            <w:tcW w:w="1795" w:type="dxa"/>
          </w:tcPr>
          <w:p w14:paraId="62CF8651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LnSegL</w:t>
            </w:r>
            <w:proofErr w:type="spellEnd"/>
          </w:p>
        </w:tc>
        <w:tc>
          <w:tcPr>
            <w:tcW w:w="7562" w:type="dxa"/>
          </w:tcPr>
          <w:p w14:paraId="4E60C9C3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Ln (Length of the segment, miles)</w:t>
            </w:r>
          </w:p>
        </w:tc>
      </w:tr>
      <w:tr w:rsidR="00762AE3" w:rsidRPr="00EA39E6" w14:paraId="765EE464" w14:textId="77777777" w:rsidTr="00F7212D">
        <w:trPr>
          <w:trHeight w:val="20"/>
        </w:trPr>
        <w:tc>
          <w:tcPr>
            <w:tcW w:w="1795" w:type="dxa"/>
          </w:tcPr>
          <w:p w14:paraId="2BDA92C4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bCs/>
                <w:iCs/>
                <w:sz w:val="22"/>
              </w:rPr>
              <w:t>LW</w:t>
            </w:r>
            <w:r w:rsidRPr="00EA39E6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7562" w:type="dxa"/>
          </w:tcPr>
          <w:p w14:paraId="7B3D3673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Lane width, ft</w:t>
            </w:r>
          </w:p>
        </w:tc>
      </w:tr>
      <w:tr w:rsidR="00762AE3" w:rsidRPr="00EA39E6" w14:paraId="5533D557" w14:textId="77777777" w:rsidTr="00F7212D">
        <w:trPr>
          <w:trHeight w:val="20"/>
        </w:trPr>
        <w:tc>
          <w:tcPr>
            <w:tcW w:w="1795" w:type="dxa"/>
          </w:tcPr>
          <w:p w14:paraId="316CD208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bCs/>
                <w:iCs/>
                <w:sz w:val="22"/>
              </w:rPr>
              <w:t>OSW</w:t>
            </w:r>
          </w:p>
        </w:tc>
        <w:tc>
          <w:tcPr>
            <w:tcW w:w="7562" w:type="dxa"/>
          </w:tcPr>
          <w:p w14:paraId="36C24091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Outside/Right shoulder width, ft</w:t>
            </w:r>
          </w:p>
        </w:tc>
      </w:tr>
      <w:tr w:rsidR="00762AE3" w:rsidRPr="00EA39E6" w14:paraId="7B4AF468" w14:textId="77777777" w:rsidTr="00F7212D">
        <w:trPr>
          <w:trHeight w:val="20"/>
        </w:trPr>
        <w:tc>
          <w:tcPr>
            <w:tcW w:w="1795" w:type="dxa"/>
          </w:tcPr>
          <w:p w14:paraId="408C3C34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bCs/>
                <w:iCs/>
                <w:sz w:val="22"/>
              </w:rPr>
              <w:t>ISW</w:t>
            </w:r>
          </w:p>
        </w:tc>
        <w:tc>
          <w:tcPr>
            <w:tcW w:w="7562" w:type="dxa"/>
          </w:tcPr>
          <w:p w14:paraId="5EEE694F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Inside/Left shoulder width, ft</w:t>
            </w:r>
          </w:p>
        </w:tc>
      </w:tr>
      <w:tr w:rsidR="00762AE3" w:rsidRPr="00EA39E6" w14:paraId="7D0C0A93" w14:textId="77777777" w:rsidTr="00F7212D">
        <w:trPr>
          <w:trHeight w:val="20"/>
        </w:trPr>
        <w:tc>
          <w:tcPr>
            <w:tcW w:w="1795" w:type="dxa"/>
          </w:tcPr>
          <w:p w14:paraId="058F2B87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bCs/>
                <w:iCs/>
                <w:sz w:val="22"/>
              </w:rPr>
              <w:t>ST</w:t>
            </w:r>
          </w:p>
        </w:tc>
        <w:tc>
          <w:tcPr>
            <w:tcW w:w="7562" w:type="dxa"/>
          </w:tcPr>
          <w:p w14:paraId="60858354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Shoulder type (paved or unpaved)</w:t>
            </w:r>
          </w:p>
        </w:tc>
      </w:tr>
      <w:tr w:rsidR="00762AE3" w:rsidRPr="00EA39E6" w14:paraId="0EFDD0F8" w14:textId="77777777" w:rsidTr="00F7212D">
        <w:trPr>
          <w:trHeight w:val="20"/>
        </w:trPr>
        <w:tc>
          <w:tcPr>
            <w:tcW w:w="1795" w:type="dxa"/>
          </w:tcPr>
          <w:p w14:paraId="51FE9A2B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MW</w:t>
            </w:r>
          </w:p>
        </w:tc>
        <w:tc>
          <w:tcPr>
            <w:tcW w:w="7562" w:type="dxa"/>
          </w:tcPr>
          <w:p w14:paraId="2F6D4BB3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Median width, ft</w:t>
            </w:r>
          </w:p>
        </w:tc>
      </w:tr>
      <w:tr w:rsidR="00762AE3" w:rsidRPr="00EA39E6" w14:paraId="315DCE25" w14:textId="77777777" w:rsidTr="00F7212D">
        <w:trPr>
          <w:trHeight w:val="20"/>
        </w:trPr>
        <w:tc>
          <w:tcPr>
            <w:tcW w:w="1795" w:type="dxa"/>
          </w:tcPr>
          <w:p w14:paraId="3A4683C0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bCs/>
                <w:iCs/>
                <w:sz w:val="22"/>
              </w:rPr>
              <w:t>SL</w:t>
            </w:r>
          </w:p>
        </w:tc>
        <w:tc>
          <w:tcPr>
            <w:tcW w:w="7562" w:type="dxa"/>
          </w:tcPr>
          <w:p w14:paraId="3E39256E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Speed limit, mph</w:t>
            </w:r>
          </w:p>
        </w:tc>
      </w:tr>
      <w:tr w:rsidR="00762AE3" w:rsidRPr="00EA39E6" w14:paraId="4A7FF98D" w14:textId="77777777" w:rsidTr="00F7212D">
        <w:trPr>
          <w:trHeight w:val="20"/>
        </w:trPr>
        <w:tc>
          <w:tcPr>
            <w:tcW w:w="1795" w:type="dxa"/>
          </w:tcPr>
          <w:p w14:paraId="76BA2B78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r w:rsidRPr="00EA39E6">
              <w:rPr>
                <w:rFonts w:cs="Times New Roman"/>
                <w:bCs/>
                <w:iCs/>
                <w:sz w:val="22"/>
              </w:rPr>
              <w:t>Year</w:t>
            </w:r>
          </w:p>
        </w:tc>
        <w:tc>
          <w:tcPr>
            <w:tcW w:w="7562" w:type="dxa"/>
          </w:tcPr>
          <w:p w14:paraId="5F22861D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Number of years</w:t>
            </w:r>
          </w:p>
        </w:tc>
      </w:tr>
      <w:tr w:rsidR="00762AE3" w:rsidRPr="00EA39E6" w14:paraId="7540E19A" w14:textId="77777777" w:rsidTr="00F7212D">
        <w:trPr>
          <w:trHeight w:val="20"/>
        </w:trPr>
        <w:tc>
          <w:tcPr>
            <w:tcW w:w="1795" w:type="dxa"/>
          </w:tcPr>
          <w:p w14:paraId="2A956918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Ln_Year</w:t>
            </w:r>
            <w:proofErr w:type="spellEnd"/>
          </w:p>
        </w:tc>
        <w:tc>
          <w:tcPr>
            <w:tcW w:w="7562" w:type="dxa"/>
          </w:tcPr>
          <w:p w14:paraId="40ED9383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Ln (Number of years)</w:t>
            </w:r>
          </w:p>
        </w:tc>
      </w:tr>
      <w:tr w:rsidR="00762AE3" w:rsidRPr="00EA39E6" w14:paraId="75BD0563" w14:textId="77777777" w:rsidTr="00F7212D">
        <w:trPr>
          <w:trHeight w:val="20"/>
        </w:trPr>
        <w:tc>
          <w:tcPr>
            <w:tcW w:w="1795" w:type="dxa"/>
          </w:tcPr>
          <w:p w14:paraId="551BC90E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St_CA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25FCFE85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California state and 0 otherwise</w:t>
            </w:r>
          </w:p>
        </w:tc>
      </w:tr>
      <w:tr w:rsidR="00762AE3" w:rsidRPr="00EA39E6" w14:paraId="5F07FA9A" w14:textId="77777777" w:rsidTr="00F7212D">
        <w:trPr>
          <w:trHeight w:val="20"/>
        </w:trPr>
        <w:tc>
          <w:tcPr>
            <w:tcW w:w="1795" w:type="dxa"/>
          </w:tcPr>
          <w:p w14:paraId="6F849555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St_CT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4C61CD26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Connecticut state and 0 otherwise</w:t>
            </w:r>
          </w:p>
        </w:tc>
      </w:tr>
      <w:tr w:rsidR="00762AE3" w:rsidRPr="00EA39E6" w14:paraId="4B033FA7" w14:textId="77777777" w:rsidTr="00F7212D">
        <w:trPr>
          <w:trHeight w:val="20"/>
        </w:trPr>
        <w:tc>
          <w:tcPr>
            <w:tcW w:w="1795" w:type="dxa"/>
          </w:tcPr>
          <w:p w14:paraId="5025D0F1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St_FL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55CD9613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Florida state and 0 otherwise</w:t>
            </w:r>
          </w:p>
        </w:tc>
      </w:tr>
      <w:tr w:rsidR="00762AE3" w:rsidRPr="00EA39E6" w14:paraId="703DF7A9" w14:textId="77777777" w:rsidTr="00F7212D">
        <w:trPr>
          <w:trHeight w:val="20"/>
        </w:trPr>
        <w:tc>
          <w:tcPr>
            <w:tcW w:w="1795" w:type="dxa"/>
          </w:tcPr>
          <w:p w14:paraId="56ADC0F5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St_IL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62D0684B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Illinois state and 0 otherwise</w:t>
            </w:r>
          </w:p>
        </w:tc>
      </w:tr>
      <w:tr w:rsidR="00762AE3" w:rsidRPr="00EA39E6" w14:paraId="7E9A4946" w14:textId="77777777" w:rsidTr="00F7212D">
        <w:trPr>
          <w:trHeight w:val="20"/>
        </w:trPr>
        <w:tc>
          <w:tcPr>
            <w:tcW w:w="1795" w:type="dxa"/>
          </w:tcPr>
          <w:p w14:paraId="1452F640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St_MN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4DBD9F6F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Minnesota state and 0 otherwise</w:t>
            </w:r>
          </w:p>
        </w:tc>
      </w:tr>
      <w:tr w:rsidR="00762AE3" w:rsidRPr="00EA39E6" w14:paraId="156872BE" w14:textId="77777777" w:rsidTr="00F7212D">
        <w:trPr>
          <w:trHeight w:val="20"/>
        </w:trPr>
        <w:tc>
          <w:tcPr>
            <w:tcW w:w="1795" w:type="dxa"/>
          </w:tcPr>
          <w:p w14:paraId="7FFA0E78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St_TX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3709FE2A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Texas state and 0 otherwise</w:t>
            </w:r>
          </w:p>
        </w:tc>
      </w:tr>
      <w:tr w:rsidR="00762AE3" w:rsidRPr="00EA39E6" w14:paraId="16E5CFC6" w14:textId="77777777" w:rsidTr="00F7212D">
        <w:trPr>
          <w:trHeight w:val="20"/>
        </w:trPr>
        <w:tc>
          <w:tcPr>
            <w:tcW w:w="1795" w:type="dxa"/>
          </w:tcPr>
          <w:p w14:paraId="6306A290" w14:textId="77777777" w:rsidR="00762AE3" w:rsidRPr="00EA39E6" w:rsidRDefault="00762AE3" w:rsidP="00F7212D">
            <w:pPr>
              <w:spacing w:after="0"/>
              <w:rPr>
                <w:rFonts w:cs="Times New Roman"/>
                <w:bCs/>
                <w:iCs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St_WA</w:t>
            </w:r>
            <w:proofErr w:type="spellEnd"/>
          </w:p>
        </w:tc>
        <w:tc>
          <w:tcPr>
            <w:tcW w:w="7562" w:type="dxa"/>
          </w:tcPr>
          <w:p w14:paraId="1097495B" w14:textId="77777777" w:rsidR="00762AE3" w:rsidRPr="00EA39E6" w:rsidRDefault="00762AE3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Washington state and 0 otherwise</w:t>
            </w:r>
          </w:p>
        </w:tc>
      </w:tr>
    </w:tbl>
    <w:p w14:paraId="75E03EFD" w14:textId="77777777" w:rsidR="00762AE3" w:rsidRPr="00EA39E6" w:rsidRDefault="00762AE3" w:rsidP="00762AE3">
      <w:pPr>
        <w:spacing w:after="0"/>
        <w:rPr>
          <w:rFonts w:cs="Times New Roman"/>
          <w:sz w:val="22"/>
        </w:rPr>
      </w:pPr>
    </w:p>
    <w:p w14:paraId="5B62242B" w14:textId="77777777" w:rsidR="00BB0F38" w:rsidRPr="00EA39E6" w:rsidRDefault="00BB0F38" w:rsidP="00762AE3">
      <w:pPr>
        <w:spacing w:after="0"/>
        <w:rPr>
          <w:rFonts w:cs="Times New Roman"/>
          <w:sz w:val="22"/>
        </w:rPr>
      </w:pPr>
    </w:p>
    <w:p w14:paraId="60213550" w14:textId="77777777" w:rsidR="00BB0F38" w:rsidRPr="00EA39E6" w:rsidRDefault="00BB0F38" w:rsidP="00762AE3">
      <w:pPr>
        <w:spacing w:after="0"/>
        <w:rPr>
          <w:rFonts w:cs="Times New Roman"/>
          <w:sz w:val="22"/>
        </w:rPr>
      </w:pPr>
    </w:p>
    <w:p w14:paraId="2D29BF36" w14:textId="77777777" w:rsidR="00BB0F38" w:rsidRPr="00EA39E6" w:rsidRDefault="00BB0F38" w:rsidP="00762AE3">
      <w:pPr>
        <w:spacing w:after="0"/>
        <w:rPr>
          <w:rFonts w:cs="Times New Roman"/>
          <w:sz w:val="22"/>
        </w:rPr>
      </w:pPr>
    </w:p>
    <w:p w14:paraId="53A37CB2" w14:textId="77777777" w:rsidR="00BB0F38" w:rsidRPr="00EA39E6" w:rsidRDefault="00BB0F38" w:rsidP="00762AE3">
      <w:pPr>
        <w:spacing w:after="0"/>
        <w:rPr>
          <w:rFonts w:cs="Times New Roman"/>
          <w:sz w:val="22"/>
        </w:rPr>
      </w:pPr>
    </w:p>
    <w:p w14:paraId="3A3C5A08" w14:textId="77777777" w:rsidR="00BB0F38" w:rsidRPr="00EA39E6" w:rsidRDefault="00BB0F38" w:rsidP="00762AE3">
      <w:pPr>
        <w:spacing w:after="0"/>
        <w:rPr>
          <w:rFonts w:cs="Times New Roman"/>
          <w:sz w:val="22"/>
        </w:rPr>
      </w:pPr>
    </w:p>
    <w:p w14:paraId="341B9257" w14:textId="77777777" w:rsidR="00CF7DD6" w:rsidRPr="00EA39E6" w:rsidRDefault="00CF7DD6" w:rsidP="00762AE3">
      <w:pPr>
        <w:spacing w:after="0"/>
        <w:rPr>
          <w:rFonts w:cs="Times New Roman"/>
          <w:sz w:val="22"/>
        </w:rPr>
      </w:pPr>
    </w:p>
    <w:p w14:paraId="7EF30125" w14:textId="343C102D" w:rsidR="00CF7DD6" w:rsidRPr="00EA39E6" w:rsidRDefault="00CF7DD6" w:rsidP="00762AE3">
      <w:pPr>
        <w:spacing w:after="0"/>
        <w:rPr>
          <w:rFonts w:cs="Times New Roman"/>
          <w:bCs/>
          <w:iCs/>
          <w:sz w:val="22"/>
        </w:rPr>
      </w:pPr>
      <w:r w:rsidRPr="00EA39E6">
        <w:rPr>
          <w:rFonts w:cs="Times New Roman"/>
          <w:b/>
          <w:iCs/>
          <w:sz w:val="22"/>
        </w:rPr>
        <w:lastRenderedPageBreak/>
        <w:t xml:space="preserve">Table </w:t>
      </w:r>
      <w:r w:rsidRPr="00EA39E6">
        <w:rPr>
          <w:rFonts w:cs="Times New Roman"/>
          <w:b/>
          <w:iCs/>
          <w:sz w:val="22"/>
        </w:rPr>
        <w:fldChar w:fldCharType="begin"/>
      </w:r>
      <w:r w:rsidRPr="00EA39E6">
        <w:rPr>
          <w:rFonts w:cs="Times New Roman"/>
          <w:b/>
          <w:iCs/>
          <w:sz w:val="22"/>
        </w:rPr>
        <w:instrText xml:space="preserve"> SEQ Table \* ARABIC \s 1 </w:instrText>
      </w:r>
      <w:r w:rsidRPr="00EA39E6">
        <w:rPr>
          <w:rFonts w:cs="Times New Roman"/>
          <w:b/>
          <w:iCs/>
          <w:sz w:val="22"/>
        </w:rPr>
        <w:fldChar w:fldCharType="separate"/>
      </w:r>
      <w:r w:rsidRPr="00EA39E6">
        <w:rPr>
          <w:rFonts w:cs="Times New Roman"/>
          <w:b/>
          <w:iCs/>
          <w:noProof/>
          <w:sz w:val="22"/>
        </w:rPr>
        <w:t>2</w:t>
      </w:r>
      <w:r w:rsidRPr="00EA39E6">
        <w:rPr>
          <w:rFonts w:cs="Times New Roman"/>
          <w:sz w:val="22"/>
        </w:rPr>
        <w:fldChar w:fldCharType="end"/>
      </w:r>
      <w:r w:rsidRPr="00EA39E6">
        <w:rPr>
          <w:rFonts w:cs="Times New Roman"/>
          <w:b/>
          <w:bCs/>
          <w:iCs/>
          <w:sz w:val="22"/>
        </w:rPr>
        <w:t xml:space="preserve"> </w:t>
      </w:r>
      <w:r w:rsidRPr="00EA39E6">
        <w:rPr>
          <w:rFonts w:cs="Times New Roman"/>
          <w:b/>
          <w:iCs/>
          <w:sz w:val="22"/>
        </w:rPr>
        <w:t xml:space="preserve">Description of the </w:t>
      </w:r>
      <w:r w:rsidR="00BB0F38" w:rsidRPr="00EA39E6">
        <w:rPr>
          <w:rFonts w:cs="Times New Roman"/>
          <w:b/>
          <w:iCs/>
          <w:sz w:val="22"/>
        </w:rPr>
        <w:t xml:space="preserve">Intersection </w:t>
      </w:r>
      <w:r w:rsidRPr="00EA39E6">
        <w:rPr>
          <w:rFonts w:cs="Times New Roman"/>
          <w:b/>
          <w:iCs/>
          <w:sz w:val="22"/>
        </w:rPr>
        <w:t>Variables</w:t>
      </w:r>
    </w:p>
    <w:tbl>
      <w:tblPr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7562"/>
      </w:tblGrid>
      <w:tr w:rsidR="00CF7DD6" w:rsidRPr="00EA39E6" w14:paraId="3FDDF949" w14:textId="77777777" w:rsidTr="00F7212D">
        <w:trPr>
          <w:trHeight w:val="20"/>
          <w:tblHeader/>
        </w:trPr>
        <w:tc>
          <w:tcPr>
            <w:tcW w:w="1795" w:type="dxa"/>
          </w:tcPr>
          <w:p w14:paraId="22005F73" w14:textId="77777777" w:rsidR="00CF7DD6" w:rsidRPr="00EA39E6" w:rsidRDefault="00CF7DD6" w:rsidP="00F7212D">
            <w:pPr>
              <w:spacing w:after="0"/>
              <w:rPr>
                <w:rFonts w:cs="Times New Roman"/>
                <w:b/>
                <w:bCs/>
                <w:sz w:val="22"/>
              </w:rPr>
            </w:pPr>
            <w:r w:rsidRPr="00EA39E6">
              <w:rPr>
                <w:rFonts w:cs="Times New Roman"/>
                <w:b/>
                <w:bCs/>
                <w:sz w:val="22"/>
              </w:rPr>
              <w:t>Variable Names</w:t>
            </w:r>
          </w:p>
        </w:tc>
        <w:tc>
          <w:tcPr>
            <w:tcW w:w="7562" w:type="dxa"/>
          </w:tcPr>
          <w:p w14:paraId="035A7242" w14:textId="77777777" w:rsidR="00CF7DD6" w:rsidRPr="00EA39E6" w:rsidRDefault="00CF7DD6" w:rsidP="00F7212D">
            <w:pPr>
              <w:spacing w:after="0"/>
              <w:rPr>
                <w:rFonts w:cs="Times New Roman"/>
                <w:b/>
                <w:bCs/>
                <w:sz w:val="22"/>
              </w:rPr>
            </w:pPr>
            <w:r w:rsidRPr="00EA39E6">
              <w:rPr>
                <w:rFonts w:cs="Times New Roman"/>
                <w:b/>
                <w:bCs/>
                <w:sz w:val="22"/>
              </w:rPr>
              <w:t>Description</w:t>
            </w:r>
          </w:p>
        </w:tc>
      </w:tr>
      <w:tr w:rsidR="00CF7DD6" w:rsidRPr="00EA39E6" w14:paraId="47C73EDF" w14:textId="77777777" w:rsidTr="00F7212D">
        <w:trPr>
          <w:trHeight w:val="20"/>
        </w:trPr>
        <w:tc>
          <w:tcPr>
            <w:tcW w:w="9357" w:type="dxa"/>
            <w:gridSpan w:val="2"/>
          </w:tcPr>
          <w:p w14:paraId="41B13EE9" w14:textId="77777777" w:rsidR="00CF7DD6" w:rsidRPr="00EA39E6" w:rsidRDefault="00CF7DD6" w:rsidP="00F7212D">
            <w:pPr>
              <w:spacing w:after="0"/>
              <w:rPr>
                <w:rFonts w:cs="Times New Roman"/>
                <w:i/>
                <w:iCs/>
                <w:sz w:val="22"/>
              </w:rPr>
            </w:pPr>
            <w:r w:rsidRPr="00EA39E6">
              <w:rPr>
                <w:rFonts w:cs="Times New Roman"/>
                <w:i/>
                <w:iCs/>
                <w:sz w:val="22"/>
              </w:rPr>
              <w:t>Dependent Variables</w:t>
            </w:r>
          </w:p>
        </w:tc>
      </w:tr>
      <w:tr w:rsidR="00CF7DD6" w:rsidRPr="00EA39E6" w14:paraId="24420098" w14:textId="77777777" w:rsidTr="00F7212D">
        <w:trPr>
          <w:trHeight w:val="20"/>
        </w:trPr>
        <w:tc>
          <w:tcPr>
            <w:tcW w:w="1795" w:type="dxa"/>
          </w:tcPr>
          <w:p w14:paraId="41C3BCC4" w14:textId="77777777" w:rsidR="00CF7DD6" w:rsidRPr="00EA39E6" w:rsidRDefault="00CF7DD6" w:rsidP="00F7212D">
            <w:pPr>
              <w:spacing w:after="0"/>
              <w:rPr>
                <w:rFonts w:cs="Times New Roman"/>
                <w:color w:val="000000"/>
                <w:sz w:val="22"/>
              </w:rPr>
            </w:pPr>
            <w:proofErr w:type="spellStart"/>
            <w:r w:rsidRPr="00EA39E6">
              <w:rPr>
                <w:rFonts w:cs="Times New Roman"/>
                <w:color w:val="000000"/>
                <w:sz w:val="22"/>
              </w:rPr>
              <w:t>Tot_crash</w:t>
            </w:r>
            <w:proofErr w:type="spellEnd"/>
          </w:p>
        </w:tc>
        <w:tc>
          <w:tcPr>
            <w:tcW w:w="7562" w:type="dxa"/>
          </w:tcPr>
          <w:p w14:paraId="0D2D772F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 xml:space="preserve">Total crash count </w:t>
            </w:r>
          </w:p>
        </w:tc>
      </w:tr>
      <w:tr w:rsidR="00CF7DD6" w:rsidRPr="00EA39E6" w14:paraId="17A9B66B" w14:textId="77777777" w:rsidTr="00F7212D">
        <w:trPr>
          <w:trHeight w:val="20"/>
        </w:trPr>
        <w:tc>
          <w:tcPr>
            <w:tcW w:w="1795" w:type="dxa"/>
          </w:tcPr>
          <w:p w14:paraId="131D9BBE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K</w:t>
            </w:r>
          </w:p>
        </w:tc>
        <w:tc>
          <w:tcPr>
            <w:tcW w:w="7562" w:type="dxa"/>
          </w:tcPr>
          <w:p w14:paraId="71EC774D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Fatal injury crash count</w:t>
            </w:r>
          </w:p>
        </w:tc>
      </w:tr>
      <w:tr w:rsidR="00CF7DD6" w:rsidRPr="00EA39E6" w14:paraId="61735950" w14:textId="77777777" w:rsidTr="00F7212D">
        <w:trPr>
          <w:trHeight w:val="20"/>
        </w:trPr>
        <w:tc>
          <w:tcPr>
            <w:tcW w:w="1795" w:type="dxa"/>
          </w:tcPr>
          <w:p w14:paraId="64C7DAA5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A</w:t>
            </w:r>
          </w:p>
        </w:tc>
        <w:tc>
          <w:tcPr>
            <w:tcW w:w="7562" w:type="dxa"/>
          </w:tcPr>
          <w:p w14:paraId="621BD97C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Incapacitating injury crash count</w:t>
            </w:r>
          </w:p>
        </w:tc>
      </w:tr>
      <w:tr w:rsidR="00CF7DD6" w:rsidRPr="00EA39E6" w14:paraId="11D18107" w14:textId="77777777" w:rsidTr="00F7212D">
        <w:trPr>
          <w:trHeight w:val="20"/>
        </w:trPr>
        <w:tc>
          <w:tcPr>
            <w:tcW w:w="1795" w:type="dxa"/>
          </w:tcPr>
          <w:p w14:paraId="21364827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B</w:t>
            </w:r>
          </w:p>
        </w:tc>
        <w:tc>
          <w:tcPr>
            <w:tcW w:w="7562" w:type="dxa"/>
          </w:tcPr>
          <w:p w14:paraId="3A7ABDD6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Non-incapacitating injury crash count</w:t>
            </w:r>
          </w:p>
        </w:tc>
      </w:tr>
      <w:tr w:rsidR="00CF7DD6" w:rsidRPr="00EA39E6" w14:paraId="015AC598" w14:textId="77777777" w:rsidTr="00F7212D">
        <w:trPr>
          <w:trHeight w:val="20"/>
        </w:trPr>
        <w:tc>
          <w:tcPr>
            <w:tcW w:w="1795" w:type="dxa"/>
          </w:tcPr>
          <w:p w14:paraId="2D4FAB8E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C</w:t>
            </w:r>
          </w:p>
        </w:tc>
        <w:tc>
          <w:tcPr>
            <w:tcW w:w="7562" w:type="dxa"/>
          </w:tcPr>
          <w:p w14:paraId="64754166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Possible injury crash count</w:t>
            </w:r>
          </w:p>
        </w:tc>
      </w:tr>
      <w:tr w:rsidR="00CF7DD6" w:rsidRPr="00EA39E6" w14:paraId="2344BDFD" w14:textId="77777777" w:rsidTr="00F7212D">
        <w:trPr>
          <w:trHeight w:val="20"/>
        </w:trPr>
        <w:tc>
          <w:tcPr>
            <w:tcW w:w="1795" w:type="dxa"/>
          </w:tcPr>
          <w:p w14:paraId="125AFC0A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O</w:t>
            </w:r>
          </w:p>
        </w:tc>
        <w:tc>
          <w:tcPr>
            <w:tcW w:w="7562" w:type="dxa"/>
          </w:tcPr>
          <w:p w14:paraId="4783B85E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No injury/PDO crash count</w:t>
            </w:r>
          </w:p>
        </w:tc>
      </w:tr>
      <w:tr w:rsidR="00CF7DD6" w:rsidRPr="00EA39E6" w14:paraId="44DAC387" w14:textId="77777777" w:rsidTr="00F7212D">
        <w:trPr>
          <w:trHeight w:val="20"/>
        </w:trPr>
        <w:tc>
          <w:tcPr>
            <w:tcW w:w="1795" w:type="dxa"/>
          </w:tcPr>
          <w:p w14:paraId="1F3947D0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iCs/>
                <w:sz w:val="22"/>
              </w:rPr>
              <w:t>KP</w:t>
            </w:r>
            <w:r w:rsidRPr="00EA39E6">
              <w:rPr>
                <w:rFonts w:cs="Times New Roman"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7384B32D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Proportion of fatal injury crash count</w:t>
            </w:r>
          </w:p>
        </w:tc>
      </w:tr>
      <w:tr w:rsidR="00CF7DD6" w:rsidRPr="00EA39E6" w14:paraId="2EF3C9E1" w14:textId="77777777" w:rsidTr="00F7212D">
        <w:trPr>
          <w:trHeight w:val="20"/>
        </w:trPr>
        <w:tc>
          <w:tcPr>
            <w:tcW w:w="1795" w:type="dxa"/>
          </w:tcPr>
          <w:p w14:paraId="178BE764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iCs/>
                <w:sz w:val="22"/>
              </w:rPr>
              <w:t>AP</w:t>
            </w:r>
            <w:r w:rsidRPr="00EA39E6">
              <w:rPr>
                <w:rFonts w:cs="Times New Roman"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6D389688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Proportion of incapacitating injury crash count</w:t>
            </w:r>
          </w:p>
        </w:tc>
      </w:tr>
      <w:tr w:rsidR="00CF7DD6" w:rsidRPr="00EA39E6" w14:paraId="170A08BD" w14:textId="77777777" w:rsidTr="00F7212D">
        <w:trPr>
          <w:trHeight w:val="20"/>
        </w:trPr>
        <w:tc>
          <w:tcPr>
            <w:tcW w:w="1795" w:type="dxa"/>
          </w:tcPr>
          <w:p w14:paraId="59949AEC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iCs/>
                <w:sz w:val="22"/>
              </w:rPr>
              <w:t>BP</w:t>
            </w:r>
            <w:r w:rsidRPr="00EA39E6">
              <w:rPr>
                <w:rFonts w:cs="Times New Roman"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350835F0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Proportion of non-incapacitating injury crash count</w:t>
            </w:r>
          </w:p>
        </w:tc>
      </w:tr>
      <w:tr w:rsidR="00CF7DD6" w:rsidRPr="00EA39E6" w14:paraId="3E4334AB" w14:textId="77777777" w:rsidTr="00F7212D">
        <w:trPr>
          <w:trHeight w:val="20"/>
        </w:trPr>
        <w:tc>
          <w:tcPr>
            <w:tcW w:w="1795" w:type="dxa"/>
          </w:tcPr>
          <w:p w14:paraId="76FDF840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iCs/>
                <w:sz w:val="22"/>
              </w:rPr>
              <w:t>CP</w:t>
            </w:r>
            <w:r w:rsidRPr="00EA39E6">
              <w:rPr>
                <w:rFonts w:cs="Times New Roman"/>
                <w:iCs/>
                <w:sz w:val="22"/>
              </w:rPr>
              <w:tab/>
            </w:r>
          </w:p>
        </w:tc>
        <w:tc>
          <w:tcPr>
            <w:tcW w:w="7562" w:type="dxa"/>
          </w:tcPr>
          <w:p w14:paraId="082994EE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Proportion of possible injury crash count</w:t>
            </w:r>
          </w:p>
        </w:tc>
      </w:tr>
      <w:tr w:rsidR="00CF7DD6" w:rsidRPr="00EA39E6" w14:paraId="7156B7FA" w14:textId="77777777" w:rsidTr="00F7212D">
        <w:trPr>
          <w:trHeight w:val="20"/>
        </w:trPr>
        <w:tc>
          <w:tcPr>
            <w:tcW w:w="1795" w:type="dxa"/>
          </w:tcPr>
          <w:p w14:paraId="33486587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iCs/>
                <w:sz w:val="22"/>
              </w:rPr>
              <w:t>OP</w:t>
            </w:r>
          </w:p>
        </w:tc>
        <w:tc>
          <w:tcPr>
            <w:tcW w:w="7562" w:type="dxa"/>
          </w:tcPr>
          <w:p w14:paraId="7B6BCAF9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Proportion of no injury crash count</w:t>
            </w:r>
          </w:p>
        </w:tc>
      </w:tr>
      <w:tr w:rsidR="00CF7DD6" w:rsidRPr="00EA39E6" w14:paraId="7B47C549" w14:textId="77777777" w:rsidTr="00F7212D">
        <w:trPr>
          <w:trHeight w:val="20"/>
        </w:trPr>
        <w:tc>
          <w:tcPr>
            <w:tcW w:w="9357" w:type="dxa"/>
            <w:gridSpan w:val="2"/>
          </w:tcPr>
          <w:p w14:paraId="357F9A1B" w14:textId="7E285CBF" w:rsidR="00CF7DD6" w:rsidRPr="00EA39E6" w:rsidRDefault="00CF7DD6" w:rsidP="00F7212D">
            <w:pPr>
              <w:spacing w:after="0"/>
              <w:rPr>
                <w:rFonts w:cs="Times New Roman"/>
                <w:i/>
                <w:iCs/>
                <w:sz w:val="22"/>
              </w:rPr>
            </w:pPr>
            <w:r w:rsidRPr="00EA39E6">
              <w:rPr>
                <w:rFonts w:cs="Times New Roman"/>
                <w:i/>
                <w:iCs/>
                <w:sz w:val="22"/>
              </w:rPr>
              <w:t>Independent Variables</w:t>
            </w:r>
          </w:p>
        </w:tc>
      </w:tr>
      <w:tr w:rsidR="00CF7DD6" w:rsidRPr="00EA39E6" w14:paraId="3CDA4009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8CAA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sz w:val="22"/>
              </w:rPr>
              <w:t>MajAADT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512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Major road AADT</w:t>
            </w:r>
          </w:p>
        </w:tc>
      </w:tr>
      <w:tr w:rsidR="00CF7DD6" w:rsidRPr="00EA39E6" w14:paraId="2210E8FC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73B6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sz w:val="22"/>
              </w:rPr>
              <w:t>MinAADT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C9CF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Minor road AADT</w:t>
            </w:r>
          </w:p>
        </w:tc>
      </w:tr>
      <w:tr w:rsidR="00CF7DD6" w:rsidRPr="00EA39E6" w14:paraId="78942D40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DCC4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Ln(</w:t>
            </w:r>
            <w:proofErr w:type="spellStart"/>
            <w:r w:rsidRPr="00EA39E6">
              <w:rPr>
                <w:rFonts w:cs="Times New Roman"/>
                <w:sz w:val="22"/>
              </w:rPr>
              <w:t>MajAADT</w:t>
            </w:r>
            <w:proofErr w:type="spellEnd"/>
            <w:r w:rsidRPr="00EA39E6">
              <w:rPr>
                <w:rFonts w:cs="Times New Roman"/>
                <w:sz w:val="22"/>
              </w:rPr>
              <w:t>)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4782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Ln (Major road AADT)</w:t>
            </w:r>
          </w:p>
        </w:tc>
      </w:tr>
      <w:tr w:rsidR="00CF7DD6" w:rsidRPr="00EA39E6" w14:paraId="689F075C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E716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Ln(</w:t>
            </w:r>
            <w:proofErr w:type="spellStart"/>
            <w:r w:rsidRPr="00EA39E6">
              <w:rPr>
                <w:rFonts w:cs="Times New Roman"/>
                <w:sz w:val="22"/>
              </w:rPr>
              <w:t>MinAADT</w:t>
            </w:r>
            <w:proofErr w:type="spellEnd"/>
            <w:r w:rsidRPr="00EA39E6">
              <w:rPr>
                <w:rFonts w:cs="Times New Roman"/>
                <w:sz w:val="22"/>
              </w:rPr>
              <w:t>)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1420" w14:textId="77777777" w:rsidR="00CF7DD6" w:rsidRPr="00EA39E6" w:rsidRDefault="00CF7DD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Ln (Minor road AADT)</w:t>
            </w:r>
          </w:p>
        </w:tc>
      </w:tr>
      <w:tr w:rsidR="00EA39E6" w:rsidRPr="00EA39E6" w14:paraId="7EBBABC7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DB7" w14:textId="15255335" w:rsidR="00EA39E6" w:rsidRPr="00EA39E6" w:rsidRDefault="00EA39E6" w:rsidP="00F7212D">
            <w:pPr>
              <w:spacing w:after="0"/>
              <w:rPr>
                <w:rFonts w:cs="Times New Roman"/>
                <w:color w:val="000000"/>
                <w:sz w:val="22"/>
              </w:rPr>
            </w:pPr>
            <w:proofErr w:type="spellStart"/>
            <w:r w:rsidRPr="00EA39E6">
              <w:rPr>
                <w:rFonts w:cs="Times New Roman"/>
                <w:color w:val="000000"/>
                <w:sz w:val="22"/>
              </w:rPr>
              <w:t>Truck_aadt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F79B" w14:textId="129DFA6D" w:rsidR="00EA39E6" w:rsidRPr="00EA39E6" w:rsidRDefault="00EA39E6" w:rsidP="00F7212D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Total truck AADT of major and minor roads</w:t>
            </w:r>
          </w:p>
        </w:tc>
      </w:tr>
      <w:tr w:rsidR="00EA39E6" w:rsidRPr="00EA39E6" w14:paraId="2A886065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E790" w14:textId="18109AD6" w:rsidR="00EA39E6" w:rsidRPr="00EA39E6" w:rsidRDefault="00EA39E6" w:rsidP="00EA39E6">
            <w:pPr>
              <w:spacing w:after="0"/>
              <w:rPr>
                <w:rFonts w:cs="Times New Roman"/>
                <w:color w:val="000000"/>
                <w:sz w:val="22"/>
              </w:rPr>
            </w:pPr>
            <w:proofErr w:type="spellStart"/>
            <w:r w:rsidRPr="00EA39E6">
              <w:rPr>
                <w:rFonts w:cs="Times New Roman"/>
                <w:color w:val="000000"/>
                <w:sz w:val="22"/>
              </w:rPr>
              <w:t>Ln_TruckAADT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6AD5" w14:textId="0969472A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Ln (</w:t>
            </w:r>
            <w:r w:rsidRPr="00EA39E6">
              <w:rPr>
                <w:rFonts w:cs="Times New Roman"/>
                <w:sz w:val="22"/>
              </w:rPr>
              <w:t>Total truck AADT of major and minor roads</w:t>
            </w:r>
            <w:r w:rsidRPr="00EA39E6">
              <w:rPr>
                <w:rFonts w:cs="Times New Roman"/>
                <w:sz w:val="22"/>
              </w:rPr>
              <w:t>)</w:t>
            </w:r>
          </w:p>
        </w:tc>
      </w:tr>
      <w:tr w:rsidR="00EA39E6" w:rsidRPr="00EA39E6" w14:paraId="278282F8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8D2B" w14:textId="11868910" w:rsidR="00EA39E6" w:rsidRPr="00EA39E6" w:rsidRDefault="00EA39E6" w:rsidP="00EA39E6">
            <w:pPr>
              <w:spacing w:after="0"/>
              <w:rPr>
                <w:rFonts w:cs="Times New Roman"/>
                <w:color w:val="000000"/>
                <w:sz w:val="22"/>
              </w:rPr>
            </w:pPr>
            <w:r w:rsidRPr="00EA39E6">
              <w:rPr>
                <w:rFonts w:cs="Times New Roman"/>
                <w:color w:val="000000"/>
                <w:sz w:val="22"/>
              </w:rPr>
              <w:t>%Truck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698F" w14:textId="4543F2E5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 xml:space="preserve">% Total truck traffic in </w:t>
            </w:r>
            <w:r w:rsidRPr="00EA39E6">
              <w:rPr>
                <w:rFonts w:cs="Times New Roman"/>
                <w:sz w:val="22"/>
              </w:rPr>
              <w:t xml:space="preserve">total </w:t>
            </w:r>
            <w:r w:rsidRPr="00EA39E6">
              <w:rPr>
                <w:rFonts w:cs="Times New Roman"/>
                <w:sz w:val="22"/>
              </w:rPr>
              <w:t>AADT</w:t>
            </w:r>
          </w:p>
        </w:tc>
      </w:tr>
      <w:tr w:rsidR="00EA39E6" w:rsidRPr="00EA39E6" w14:paraId="093F979D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3874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sz w:val="22"/>
              </w:rPr>
              <w:t>MajTruckAADT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806D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Major road truck AADT</w:t>
            </w:r>
          </w:p>
        </w:tc>
      </w:tr>
      <w:tr w:rsidR="00EA39E6" w:rsidRPr="00EA39E6" w14:paraId="05FF8850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167C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sz w:val="22"/>
              </w:rPr>
              <w:t>MinTruckAADT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7295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Minor road truck AADT</w:t>
            </w:r>
          </w:p>
        </w:tc>
      </w:tr>
      <w:tr w:rsidR="00EA39E6" w:rsidRPr="00EA39E6" w14:paraId="52FF7911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11CC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%</w:t>
            </w:r>
            <w:proofErr w:type="spellStart"/>
            <w:r w:rsidRPr="00EA39E6">
              <w:rPr>
                <w:rFonts w:cs="Times New Roman"/>
                <w:sz w:val="22"/>
              </w:rPr>
              <w:t>MajTruck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8371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% Truck traffic in major road AADT</w:t>
            </w:r>
          </w:p>
        </w:tc>
      </w:tr>
      <w:tr w:rsidR="00EA39E6" w:rsidRPr="00EA39E6" w14:paraId="736FE912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41F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%</w:t>
            </w:r>
            <w:proofErr w:type="spellStart"/>
            <w:r w:rsidRPr="00EA39E6">
              <w:rPr>
                <w:rFonts w:cs="Times New Roman"/>
                <w:sz w:val="22"/>
              </w:rPr>
              <w:t>MinTruck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0606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% Truck traffic in minor road AADT</w:t>
            </w:r>
          </w:p>
        </w:tc>
      </w:tr>
      <w:tr w:rsidR="00EA39E6" w:rsidRPr="00EA39E6" w14:paraId="19C31C51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5007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HTZ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D304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intersection is located at high truck zone and 0 otherwise</w:t>
            </w:r>
          </w:p>
        </w:tc>
      </w:tr>
      <w:tr w:rsidR="00EA39E6" w:rsidRPr="00EA39E6" w14:paraId="4C64CC8A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1D6C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sz w:val="22"/>
              </w:rPr>
              <w:t>MajLane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BBCF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Number of lanes in major road</w:t>
            </w:r>
          </w:p>
        </w:tc>
      </w:tr>
      <w:tr w:rsidR="00EA39E6" w:rsidRPr="00EA39E6" w14:paraId="1D64CDBE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A9E4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sz w:val="22"/>
              </w:rPr>
              <w:t>MinLane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6EEA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Number of lanes in minor road</w:t>
            </w:r>
          </w:p>
        </w:tc>
      </w:tr>
      <w:tr w:rsidR="00EA39E6" w:rsidRPr="00EA39E6" w14:paraId="6EA64421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B77B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Light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D223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 xml:space="preserve">Presence of light </w:t>
            </w:r>
          </w:p>
        </w:tc>
      </w:tr>
      <w:tr w:rsidR="00EA39E6" w:rsidRPr="00EA39E6" w14:paraId="246EE621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A7C3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sz w:val="22"/>
              </w:rPr>
              <w:t>MajSL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D4C1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Major road speed limit, mph</w:t>
            </w:r>
          </w:p>
        </w:tc>
      </w:tr>
      <w:tr w:rsidR="00EA39E6" w:rsidRPr="00EA39E6" w14:paraId="4496037F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36C3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bCs/>
                <w:iCs/>
                <w:sz w:val="22"/>
              </w:rPr>
              <w:t>Year</w:t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A837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Number of years</w:t>
            </w:r>
          </w:p>
        </w:tc>
      </w:tr>
      <w:tr w:rsidR="00EA39E6" w:rsidRPr="00EA39E6" w14:paraId="295F7E0F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FDD9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Ln_Year</w:t>
            </w:r>
            <w:proofErr w:type="spellEnd"/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3817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Ln (Number of years)</w:t>
            </w:r>
          </w:p>
        </w:tc>
      </w:tr>
      <w:tr w:rsidR="00EA39E6" w:rsidRPr="00EA39E6" w14:paraId="7BCD095E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C5AA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St_CA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D7C9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California state and 0 otherwise</w:t>
            </w:r>
          </w:p>
        </w:tc>
      </w:tr>
      <w:tr w:rsidR="00EA39E6" w:rsidRPr="00EA39E6" w14:paraId="59506240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42B4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St_CT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A811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Connecticut state and 0 otherwise</w:t>
            </w:r>
          </w:p>
        </w:tc>
      </w:tr>
      <w:tr w:rsidR="00EA39E6" w:rsidRPr="00EA39E6" w14:paraId="423151D8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156D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St_FL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F12E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Florida state and 0 otherwise</w:t>
            </w:r>
          </w:p>
        </w:tc>
      </w:tr>
      <w:tr w:rsidR="00EA39E6" w:rsidRPr="00EA39E6" w14:paraId="1A6B2E77" w14:textId="77777777" w:rsidTr="00F7212D">
        <w:trPr>
          <w:trHeight w:val="2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A707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proofErr w:type="spellStart"/>
            <w:r w:rsidRPr="00EA39E6">
              <w:rPr>
                <w:rFonts w:cs="Times New Roman"/>
                <w:bCs/>
                <w:iCs/>
                <w:sz w:val="22"/>
              </w:rPr>
              <w:t>St_MN</w:t>
            </w:r>
            <w:proofErr w:type="spellEnd"/>
            <w:r w:rsidRPr="00EA39E6">
              <w:rPr>
                <w:rFonts w:cs="Times New Roman"/>
                <w:bCs/>
                <w:iCs/>
                <w:sz w:val="22"/>
              </w:rPr>
              <w:tab/>
            </w:r>
          </w:p>
        </w:tc>
        <w:tc>
          <w:tcPr>
            <w:tcW w:w="7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B667" w14:textId="77777777" w:rsidR="00EA39E6" w:rsidRPr="00EA39E6" w:rsidRDefault="00EA39E6" w:rsidP="00EA39E6">
            <w:pPr>
              <w:spacing w:after="0"/>
              <w:rPr>
                <w:rFonts w:cs="Times New Roman"/>
                <w:sz w:val="22"/>
              </w:rPr>
            </w:pPr>
            <w:r w:rsidRPr="00EA39E6">
              <w:rPr>
                <w:rFonts w:cs="Times New Roman"/>
                <w:sz w:val="22"/>
              </w:rPr>
              <w:t>This value is set to 1, if the segment is from Minnesota state and 0 otherwise</w:t>
            </w:r>
          </w:p>
        </w:tc>
      </w:tr>
    </w:tbl>
    <w:p w14:paraId="54E2FE94" w14:textId="77777777" w:rsidR="00283A63" w:rsidRPr="00EA39E6" w:rsidRDefault="00283A63">
      <w:pPr>
        <w:rPr>
          <w:rFonts w:cs="Times New Roman"/>
          <w:sz w:val="22"/>
        </w:rPr>
      </w:pPr>
    </w:p>
    <w:sectPr w:rsidR="00283A63" w:rsidRPr="00EA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69"/>
    <w:rsid w:val="00070C1B"/>
    <w:rsid w:val="001662A9"/>
    <w:rsid w:val="001F2622"/>
    <w:rsid w:val="00221740"/>
    <w:rsid w:val="00283A63"/>
    <w:rsid w:val="00361CB5"/>
    <w:rsid w:val="00367277"/>
    <w:rsid w:val="003B0F0D"/>
    <w:rsid w:val="003B6A66"/>
    <w:rsid w:val="003F49C4"/>
    <w:rsid w:val="00445854"/>
    <w:rsid w:val="004D6869"/>
    <w:rsid w:val="004E1DA7"/>
    <w:rsid w:val="00762AE3"/>
    <w:rsid w:val="00A4787F"/>
    <w:rsid w:val="00BB0F38"/>
    <w:rsid w:val="00CF7DD6"/>
    <w:rsid w:val="00D415F8"/>
    <w:rsid w:val="00DD711C"/>
    <w:rsid w:val="00EA39E6"/>
    <w:rsid w:val="00F940EE"/>
    <w:rsid w:val="00FA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035F"/>
  <w15:chartTrackingRefBased/>
  <w15:docId w15:val="{02B2FB10-64D3-41D7-A555-608CF97D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D6"/>
    <w:pPr>
      <w:spacing w:after="120" w:line="24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Shahrior Pervaz</dc:creator>
  <cp:keywords/>
  <dc:description/>
  <cp:lastModifiedBy>Shahrior Pervaz</cp:lastModifiedBy>
  <cp:revision>6</cp:revision>
  <dcterms:created xsi:type="dcterms:W3CDTF">2023-10-22T02:15:00Z</dcterms:created>
  <dcterms:modified xsi:type="dcterms:W3CDTF">2023-10-22T06:05:00Z</dcterms:modified>
</cp:coreProperties>
</file>