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jgu5f8d6jt5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27685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Figure S1</w:t>
      </w:r>
      <w:r w:rsidDel="00000000" w:rsidR="00000000" w:rsidRPr="00000000">
        <w:rPr>
          <w:rtl w:val="0"/>
        </w:rPr>
        <w:t xml:space="preserve"> -  Relative distance of TSO to read ends, i.e. 0.0 is 3’ or 5’ end and 0.5 is the middle, in cDNA libraries shown as kernel density estimates. Green: PCA001, Orange: FLT-seq, Blue: PCS111.  PCA: TSO mostly at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