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81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810" w:firstLine="0"/>
        <w:rPr/>
      </w:pPr>
      <w:r w:rsidDel="00000000" w:rsidR="00000000" w:rsidRPr="00000000">
        <w:rPr/>
        <w:drawing>
          <wp:inline distB="114300" distT="114300" distL="114300" distR="114300">
            <wp:extent cx="6961149" cy="3431414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1149" cy="343141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666666"/>
          <w:rtl w:val="0"/>
        </w:rPr>
        <w:t xml:space="preserve"> Figure S3 -  Isoform length distribution comparison between PCS111, FLT-seq, PCA001 and scmixology2 and across different class codes.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81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-81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Figure Description - </w:t>
      </w:r>
    </w:p>
    <w:p w:rsidR="00000000" w:rsidDel="00000000" w:rsidP="00000000" w:rsidRDefault="00000000" w:rsidRPr="00000000" w14:paraId="00000005">
      <w:pPr>
        <w:spacing w:line="240" w:lineRule="auto"/>
        <w:ind w:left="-81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35.0" w:type="dxa"/>
        <w:jc w:val="left"/>
        <w:tblInd w:w="-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9090"/>
        <w:tblGridChange w:id="0">
          <w:tblGrid>
            <w:gridCol w:w="1845"/>
            <w:gridCol w:w="909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ind w:left="-81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ind w:left="-81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.66845703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ind w:left="-8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ind w:left="-8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Complete, exact match of intron chain</w:t>
            </w:r>
          </w:p>
        </w:tc>
      </w:tr>
      <w:tr>
        <w:trPr>
          <w:cantSplit w:val="0"/>
          <w:trHeight w:val="543.66845703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ind w:left="-8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ind w:left="-8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Contained in reference (intron compatible)</w:t>
            </w:r>
          </w:p>
        </w:tc>
      </w:tr>
      <w:tr>
        <w:trPr>
          <w:cantSplit w:val="0"/>
          <w:trHeight w:val="543.66845703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ind w:left="-8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ind w:left="-8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Containment of reference (reverse containment)</w:t>
            </w:r>
          </w:p>
        </w:tc>
      </w:tr>
      <w:tr>
        <w:trPr>
          <w:cantSplit w:val="0"/>
          <w:trHeight w:val="543.66845703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ind w:left="-8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ind w:left="-8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Retained intron(s), all introns matched or retained</w:t>
            </w:r>
          </w:p>
        </w:tc>
      </w:tr>
      <w:tr>
        <w:trPr>
          <w:cantSplit w:val="0"/>
          <w:trHeight w:val="543.66845703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ind w:left="-8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ind w:left="-8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Retained intron(s), not all introns matched/covered</w:t>
            </w:r>
          </w:p>
        </w:tc>
      </w:tr>
      <w:tr>
        <w:trPr>
          <w:cantSplit w:val="0"/>
          <w:trHeight w:val="543.66845703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ind w:left="-8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ind w:left="-8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Multi-exon with at least one junction match</w:t>
            </w:r>
          </w:p>
        </w:tc>
      </w:tr>
      <w:tr>
        <w:trPr>
          <w:cantSplit w:val="0"/>
          <w:trHeight w:val="543.66845703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ind w:left="-8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ind w:left="-8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Single exon transfrag partially covering an intron, possible pre-mRNA fragment</w:t>
            </w:r>
          </w:p>
        </w:tc>
      </w:tr>
      <w:tr>
        <w:trPr>
          <w:cantSplit w:val="0"/>
          <w:trHeight w:val="543.66845703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ind w:left="-8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ind w:left="-8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Other same strand overlap with reference exons</w:t>
            </w:r>
          </w:p>
        </w:tc>
      </w:tr>
      <w:tr>
        <w:trPr>
          <w:cantSplit w:val="0"/>
          <w:trHeight w:val="543.66845703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ind w:left="-8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ind w:left="-8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Intron match on the opposite strand (likely a mapping error)</w:t>
            </w:r>
          </w:p>
        </w:tc>
      </w:tr>
      <w:tr>
        <w:trPr>
          <w:cantSplit w:val="0"/>
          <w:trHeight w:val="543.66845703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ind w:left="-8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ind w:left="-8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Exonic overlap on the opposite strand (like </w:t>
            </w: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  <w:t xml:space="preserve"> or </w:t>
            </w: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, but on the opposite strand)</w:t>
            </w:r>
          </w:p>
        </w:tc>
      </w:tr>
      <w:tr>
        <w:trPr>
          <w:cantSplit w:val="0"/>
          <w:trHeight w:val="543.66845703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ind w:left="-8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ind w:left="-8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Fully contained within a reference intron</w:t>
            </w:r>
          </w:p>
        </w:tc>
      </w:tr>
      <w:tr>
        <w:trPr>
          <w:cantSplit w:val="0"/>
          <w:trHeight w:val="543.66845703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ind w:left="-8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ind w:left="-8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Contains a reference within its intron(s)</w:t>
            </w:r>
          </w:p>
        </w:tc>
      </w:tr>
      <w:tr>
        <w:trPr>
          <w:cantSplit w:val="0"/>
          <w:trHeight w:val="543.66845703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ind w:left="-8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ind w:left="-8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Possible polymerase run-on (no actual overlap)</w:t>
            </w:r>
          </w:p>
        </w:tc>
      </w:tr>
      <w:tr>
        <w:trPr>
          <w:cantSplit w:val="0"/>
          <w:trHeight w:val="543.66845703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ind w:left="-8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ind w:left="-8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Repeat (at least 50% bases soft-masked)</w:t>
            </w:r>
          </w:p>
        </w:tc>
      </w:tr>
      <w:tr>
        <w:trPr>
          <w:cantSplit w:val="0"/>
          <w:trHeight w:val="543.66845703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ind w:left="-8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ind w:left="-8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None of the above (unknown, intergenic)</w:t>
            </w:r>
          </w:p>
        </w:tc>
      </w:tr>
    </w:tbl>
    <w:p w:rsidR="00000000" w:rsidDel="00000000" w:rsidP="00000000" w:rsidRDefault="00000000" w:rsidRPr="00000000" w14:paraId="00000026">
      <w:pPr>
        <w:ind w:left="-81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