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cDNA from the Chromium Next GEM Single Cell 3’ Reagent Kit v3.1  was used to generate the Oxford Nanopore Technology (ONT) long-read sequencing libraries, according to a modified FLT-seq protocol (ref bellow) and the SQK-LSK114 Ligation Sequencing Kit (Oxford Nanopore Technologies, Oxford, UK).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PCR amplification. For each sample, 5 PCR-reactions in parallel were set up with the following reagents: 10 μl </w:t>
      </w:r>
      <w:r w:rsidDel="00000000" w:rsidR="00000000" w:rsidRPr="00000000">
        <w:rPr>
          <w:rtl w:val="0"/>
        </w:rPr>
        <w:t xml:space="preserve">5x PrimeSTAR GXL Buffer </w:t>
      </w:r>
      <w:r w:rsidDel="00000000" w:rsidR="00000000" w:rsidRPr="00000000">
        <w:rPr>
          <w:sz w:val="24"/>
          <w:szCs w:val="24"/>
          <w:rtl w:val="0"/>
        </w:rPr>
        <w:t xml:space="preserve"> (Takara Bio Inc., Kasatsu, Japan), 4 μl 2.5 mM dNTP solution (New England Biolabs, Ipswich, USA), 1 μl 10 μM FPSfilA Primer (FPSfilA: 5’-ACTAAAGGCCATTACGGCCTACACGACGCTCTTCCGATCT-3’, Thermo Fisher Scientific, Waltham, USA), 1 μl 10 μM RPSfilBr Primer (RPSfilBr: 5’-TTACAGGCCGTAATGGCCAAGCAGTGGTATCAACGCAGAGTA-3’, Thermo Fisher Scientific, Waltham, USA), 1 μl </w:t>
      </w:r>
      <w:r w:rsidDel="00000000" w:rsidR="00000000" w:rsidRPr="00000000">
        <w:rPr>
          <w:rtl w:val="0"/>
        </w:rPr>
        <w:t xml:space="preserve">PrimeSTAR GXL Polymerase </w:t>
      </w:r>
      <w:r w:rsidDel="00000000" w:rsidR="00000000" w:rsidRPr="00000000">
        <w:rPr>
          <w:sz w:val="24"/>
          <w:szCs w:val="24"/>
          <w:rtl w:val="0"/>
        </w:rPr>
        <w:t xml:space="preserve">(Takara Bio Inc., Kasatsu, Japan).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 Samples were PCR-amplified with the following program: 98</w:t>
      </w:r>
      <w:r w:rsidDel="00000000" w:rsidR="00000000" w:rsidRPr="00000000">
        <w:rPr>
          <w:rtl w:val="0"/>
        </w:rPr>
        <w:t xml:space="preserve">°C for 30 sec, 8 cycles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of (</w:t>
      </w:r>
      <w:r w:rsidDel="00000000" w:rsidR="00000000" w:rsidRPr="00000000">
        <w:rPr>
          <w:sz w:val="24"/>
          <w:szCs w:val="24"/>
          <w:rtl w:val="0"/>
        </w:rPr>
        <w:t xml:space="preserve">98</w:t>
      </w:r>
      <w:r w:rsidDel="00000000" w:rsidR="00000000" w:rsidRPr="00000000">
        <w:rPr>
          <w:rtl w:val="0"/>
        </w:rPr>
        <w:t xml:space="preserve">°C for 10 sec, </w:t>
      </w:r>
      <w:r w:rsidDel="00000000" w:rsidR="00000000" w:rsidRPr="00000000">
        <w:rPr>
          <w:sz w:val="24"/>
          <w:szCs w:val="24"/>
          <w:rtl w:val="0"/>
        </w:rPr>
        <w:t xml:space="preserve">65</w:t>
      </w:r>
      <w:r w:rsidDel="00000000" w:rsidR="00000000" w:rsidRPr="00000000">
        <w:rPr>
          <w:rtl w:val="0"/>
        </w:rPr>
        <w:t xml:space="preserve">°C for 15 sec, </w:t>
      </w:r>
      <w:r w:rsidDel="00000000" w:rsidR="00000000" w:rsidRPr="00000000">
        <w:rPr>
          <w:sz w:val="24"/>
          <w:szCs w:val="24"/>
          <w:rtl w:val="0"/>
        </w:rPr>
        <w:t xml:space="preserve">68</w:t>
      </w:r>
      <w:r w:rsidDel="00000000" w:rsidR="00000000" w:rsidRPr="00000000">
        <w:rPr>
          <w:rtl w:val="0"/>
        </w:rPr>
        <w:t xml:space="preserve">°C for 8 min), </w:t>
      </w:r>
      <w:r w:rsidDel="00000000" w:rsidR="00000000" w:rsidRPr="00000000">
        <w:rPr>
          <w:sz w:val="24"/>
          <w:szCs w:val="24"/>
          <w:rtl w:val="0"/>
        </w:rPr>
        <w:t xml:space="preserve">68</w:t>
      </w:r>
      <w:r w:rsidDel="00000000" w:rsidR="00000000" w:rsidRPr="00000000">
        <w:rPr>
          <w:rtl w:val="0"/>
        </w:rPr>
        <w:t xml:space="preserve">°C for 10 min,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  <w:t xml:space="preserve">°C hold.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2) Bead clean up. 5 x 50 </w:t>
      </w:r>
      <w:r w:rsidDel="00000000" w:rsidR="00000000" w:rsidRPr="00000000">
        <w:rPr>
          <w:sz w:val="24"/>
          <w:szCs w:val="24"/>
          <w:rtl w:val="0"/>
        </w:rPr>
        <w:t xml:space="preserve">μl of PCR product were pooled for each sample, mixed with 200 μl (0.8x) </w:t>
      </w:r>
      <w:r w:rsidDel="00000000" w:rsidR="00000000" w:rsidRPr="00000000">
        <w:rPr>
          <w:rtl w:val="0"/>
        </w:rPr>
        <w:t xml:space="preserve">AMPure XP beads (Beckman Coulter Inc., Brea, USA) and incubated at room temperature for 10 minutes. The mix was placed on a magnet and the clear supernatant was removed. With the tubes still on the magnet, 200 </w:t>
      </w:r>
      <w:r w:rsidDel="00000000" w:rsidR="00000000" w:rsidRPr="00000000">
        <w:rPr>
          <w:sz w:val="24"/>
          <w:szCs w:val="24"/>
          <w:rtl w:val="0"/>
        </w:rPr>
        <w:t xml:space="preserve">μl 80% ethanol was added. The ethanol was removed and the wash with </w:t>
      </w:r>
      <w:r w:rsidDel="00000000" w:rsidR="00000000" w:rsidRPr="00000000">
        <w:rPr>
          <w:rtl w:val="0"/>
        </w:rPr>
        <w:t xml:space="preserve">200 </w:t>
      </w:r>
      <w:r w:rsidDel="00000000" w:rsidR="00000000" w:rsidRPr="00000000">
        <w:rPr>
          <w:sz w:val="24"/>
          <w:szCs w:val="24"/>
          <w:rtl w:val="0"/>
        </w:rPr>
        <w:t xml:space="preserve">μl 80% ethanol was repeated once for a total of two washes. Beads were air dried for 1 minute. The beads were resuspended in 51 μl Buffer EB (Qiagen N.V. Hilden, Germany) off the magnet and incubated at room temperature for 5 minutes. Placed back on the magnet, 50 μl of the clear supernatant was removed and transferred to a new tube.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Quality control. The amplified cDNA was quantified using Qubit dsDNA HS assay (Thermo Fisher Scientific, Waltham, USA) and Fragment Analyzer HS NGS Fragment Kit (Agilent Technologies Inc., Santa Clara, USA).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Long-read sequency library preparation. 200 ng of the amplified cDNA from the previous step was used as an input for library preparation according to </w:t>
      </w:r>
      <w:r w:rsidDel="00000000" w:rsidR="00000000" w:rsidRPr="00000000">
        <w:rPr>
          <w:rtl w:val="0"/>
        </w:rPr>
        <w:t xml:space="preserve">SQK-LSK114 </w:t>
      </w:r>
      <w:r w:rsidDel="00000000" w:rsidR="00000000" w:rsidRPr="00000000">
        <w:rPr>
          <w:sz w:val="24"/>
          <w:szCs w:val="24"/>
          <w:rtl w:val="0"/>
        </w:rPr>
        <w:t xml:space="preserve">Ligation Sequencing Kit (Oxford Nanopore Technologies, Oxford, UK) with following modifications (original values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crossed out</w:t>
      </w:r>
      <w:r w:rsidDel="00000000" w:rsidR="00000000" w:rsidRPr="00000000">
        <w:rPr>
          <w:sz w:val="24"/>
          <w:szCs w:val="24"/>
          <w:rtl w:val="0"/>
        </w:rPr>
        <w:t xml:space="preserve">): </w:t>
      </w:r>
      <w:r w:rsidDel="00000000" w:rsidR="00000000" w:rsidRPr="00000000">
        <w:rPr>
          <w:i w:val="1"/>
          <w:sz w:val="24"/>
          <w:szCs w:val="24"/>
          <w:rtl w:val="0"/>
        </w:rPr>
        <w:t xml:space="preserve">3. DNA repair and end-prep</w:t>
      </w:r>
      <w:r w:rsidDel="00000000" w:rsidR="00000000" w:rsidRPr="00000000">
        <w:rPr>
          <w:sz w:val="24"/>
          <w:szCs w:val="24"/>
          <w:rtl w:val="0"/>
        </w:rPr>
        <w:t xml:space="preserve">: 3.6 Using a thermal cycler, incubate at 20°C for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5 </w:t>
      </w:r>
      <w:r w:rsidDel="00000000" w:rsidR="00000000" w:rsidRPr="00000000">
        <w:rPr>
          <w:sz w:val="24"/>
          <w:szCs w:val="24"/>
          <w:rtl w:val="0"/>
        </w:rPr>
        <w:t xml:space="preserve">20 minutes and 65°C for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20 minutes. 3.10 Incubate on a Hula mixer (rotator mixer) for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15 minutes at room temperature. </w:t>
      </w:r>
      <w:r w:rsidDel="00000000" w:rsidR="00000000" w:rsidRPr="00000000">
        <w:rPr>
          <w:i w:val="1"/>
          <w:sz w:val="24"/>
          <w:szCs w:val="24"/>
          <w:rtl w:val="0"/>
        </w:rPr>
        <w:t xml:space="preserve">4. Adapter ligation and clean-up </w:t>
      </w:r>
      <w:r w:rsidDel="00000000" w:rsidR="00000000" w:rsidRPr="00000000">
        <w:rPr>
          <w:sz w:val="24"/>
          <w:szCs w:val="24"/>
          <w:rtl w:val="0"/>
        </w:rPr>
        <w:t xml:space="preserve">4.9 Add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40 </w:t>
      </w:r>
      <w:r w:rsidDel="00000000" w:rsidR="00000000" w:rsidRPr="00000000">
        <w:rPr>
          <w:sz w:val="24"/>
          <w:szCs w:val="24"/>
          <w:rtl w:val="0"/>
        </w:rPr>
        <w:t xml:space="preserve">50 µl of resuspended AMPure XP Beads (AXP) to the reaction and mix by flicking the tube.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Long-read sequencing. We sequenced 50 fmol of library per sample in a Promethion R10.4.1 flowcell, according to </w:t>
      </w:r>
      <w:r w:rsidDel="00000000" w:rsidR="00000000" w:rsidRPr="00000000">
        <w:rPr>
          <w:rtl w:val="0"/>
        </w:rPr>
        <w:t xml:space="preserve">SQK-LSK114 </w:t>
      </w:r>
      <w:r w:rsidDel="00000000" w:rsidR="00000000" w:rsidRPr="00000000">
        <w:rPr>
          <w:sz w:val="24"/>
          <w:szCs w:val="24"/>
          <w:rtl w:val="0"/>
        </w:rPr>
        <w:t xml:space="preserve">Ligation Sequencing Kit (Oxford Nanopore Technologies, Oxford, UK).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 FLT-seq: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Tian, L., Jabbari, J.S., Thijssen, R. et al. (2021). Comprehensive characterization of single-cell full-length isoforms in human and mouse with long-read sequencing. Genome Biol 22, 310 . https://doi.org/10.1186/s13059-021-02525-6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