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before="0"/>
        <w:jc w:val="center"/>
      </w:pPr>
      <w:r>
        <w:rPr>
          <w:rFonts w:ascii="Arial" w:cs="Arial" w:eastAsia="Arial" w:hAnsi="Arial"/>
          <w:color w:val="8E3B28"/>
          <w:sz w:val="72"/>
          <w:szCs w:val="72"/>
        </w:rPr>
        <w:t xml:space="preserve">◐</w:t>
      </w:r>
    </w:p>
    <w:p>
      <w:pPr>
        <w:spacing w:after="160" w:before="0"/>
        <w:jc w:val="center"/>
      </w:pPr>
      <w:r>
        <w:rPr>
          <w:rFonts w:ascii="Arial" w:cs="Arial" w:eastAsia="Arial" w:hAnsi="Arial"/>
          <w:b/>
          <w:bCs/>
          <w:color w:val="1E1B17"/>
          <w:sz w:val="72"/>
          <w:szCs w:val="72"/>
        </w:rPr>
        <w:t xml:space="preserve">NATIVE WORKS</w:t>
      </w:r>
    </w:p>
    <w:p>
      <w:pPr>
        <w:spacing w:after="400" w:before="0"/>
        <w:jc w:val="center"/>
      </w:pPr>
      <w:r>
        <w:rPr>
          <w:rFonts w:ascii="Arial" w:cs="Arial" w:eastAsia="Arial" w:hAnsi="Arial"/>
          <w:color w:val="606060"/>
          <w:sz w:val="22"/>
          <w:szCs w:val="22"/>
        </w:rPr>
        <w:t xml:space="preserve">Brand Identity Document  —  Version 1.1  —  April 2026</w:t>
      </w:r>
    </w:p>
    <w:p>
      <w:pPr>
        <w:spacing w:after="400" w:before="240"/>
        <w:jc w:val="center"/>
      </w:pPr>
      <w:r>
        <w:rPr>
          <w:rFonts w:ascii="Arial" w:cs="Arial" w:eastAsia="Arial" w:hAnsi="Arial"/>
          <w:i/>
          <w:iCs/>
          <w:color w:val="1E1B17"/>
          <w:sz w:val="32"/>
          <w:szCs w:val="32"/>
        </w:rPr>
        <w:t xml:space="preserve">Your site. Your audience. Your revenue. Nobody's platform.</w:t>
      </w:r>
    </w:p>
    <w:p>
      <w:pPr>
        <w:spacing w:before="800"/>
        <w:jc w:val="center"/>
      </w:pPr>
      <w:r>
        <w:rPr>
          <w:rFonts w:ascii="Arial" w:cs="Arial" w:eastAsia="Arial" w:hAnsi="Arial"/>
          <w:color w:val="606060"/>
          <w:spacing w:val="60"/>
          <w:sz w:val="18"/>
          <w:szCs w:val="18"/>
        </w:rPr>
        <w:t xml:space="preserve">NATIVEWORKS.STUDIO</w:t>
      </w:r>
    </w:p>
    <w:p>
      <w:r>
        <w:br w:type="page"/>
      </w:r>
    </w:p>
    <w:p>
      <w:pPr>
        <w:spacing w:after="60" w:before="480"/>
      </w:pPr>
      <w:r>
        <w:rPr>
          <w:rFonts w:ascii="Arial" w:cs="Arial" w:eastAsia="Arial" w:hAnsi="Arial"/>
          <w:color w:val="606060"/>
          <w:sz w:val="18"/>
          <w:szCs w:val="18"/>
        </w:rPr>
        <w:t xml:space="preserve">01</w:t>
      </w:r>
    </w:p>
    <w:p>
      <w:pPr>
        <w:pStyle w:val="Heading1"/>
        <w:spacing w:after="200" w:before="0"/>
      </w:pPr>
      <w:r>
        <w:rPr>
          <w:rFonts w:ascii="Arial" w:cs="Arial" w:eastAsia="Arial" w:hAnsi="Arial"/>
          <w:b/>
          <w:bCs/>
          <w:color w:val="1E1B17"/>
          <w:sz w:val="40"/>
          <w:szCs w:val="40"/>
        </w:rPr>
        <w:t xml:space="preserve">Brand overview</w:t>
      </w:r>
    </w:p>
    <w:p>
      <w:pPr>
        <w:spacing w:after="120" w:before="80" w:line="300"/>
      </w:pPr>
      <w:r>
        <w:rPr>
          <w:rFonts w:ascii="Arial" w:cs="Arial" w:eastAsia="Arial" w:hAnsi="Arial"/>
          <w:sz w:val="22"/>
          <w:szCs w:val="22"/>
        </w:rPr>
        <w:t xml:space="preserve">Native Works is a sovereign digital production studio. It builds websites, digital identities, publishing platforms, and commerce systems for businesses and creators who are done renting their digital presence from platforms that can change the rules tomorrow.</w:t>
      </w:r>
    </w:p>
    <w:p>
      <w:pPr>
        <w:spacing w:after="120" w:before="80" w:line="300"/>
      </w:pPr>
      <w:r>
        <w:rPr>
          <w:rFonts w:ascii="Arial" w:cs="Arial" w:eastAsia="Arial" w:hAnsi="Arial"/>
          <w:sz w:val="22"/>
          <w:szCs w:val="22"/>
        </w:rPr>
        <w:t xml:space="preserve">Every product walks a client toward full ownership of their digital life. The journey begins with something warm and familiar. It ends somewhere most people do not yet know is possible.</w:t>
      </w:r>
    </w:p>
    <w:p>
      <w:pPr>
        <w:spacing w:after="60" w:before="480"/>
      </w:pPr>
      <w:r>
        <w:rPr>
          <w:rFonts w:ascii="Arial" w:cs="Arial" w:eastAsia="Arial" w:hAnsi="Arial"/>
          <w:color w:val="606060"/>
          <w:sz w:val="18"/>
          <w:szCs w:val="18"/>
        </w:rPr>
        <w:t xml:space="preserve">02</w:t>
      </w:r>
    </w:p>
    <w:p>
      <w:pPr>
        <w:pStyle w:val="Heading1"/>
        <w:spacing w:after="200" w:before="0"/>
      </w:pPr>
      <w:r>
        <w:rPr>
          <w:rFonts w:ascii="Arial" w:cs="Arial" w:eastAsia="Arial" w:hAnsi="Arial"/>
          <w:b/>
          <w:bCs/>
          <w:color w:val="1E1B17"/>
          <w:sz w:val="40"/>
          <w:szCs w:val="40"/>
        </w:rPr>
        <w:t xml:space="preserve">Mission &amp; manifesto</w:t>
      </w:r>
    </w:p>
    <w:p>
      <w:pPr>
        <w:pStyle w:val="Heading2"/>
        <w:spacing w:after="120" w:before="280"/>
      </w:pPr>
      <w:r>
        <w:rPr>
          <w:rFonts w:ascii="Arial" w:cs="Arial" w:eastAsia="Arial" w:hAnsi="Arial"/>
          <w:b/>
          <w:bCs/>
          <w:color w:val="1E1B17"/>
          <w:sz w:val="26"/>
          <w:szCs w:val="26"/>
        </w:rPr>
        <w:t xml:space="preserve">Compact definition</w:t>
      </w:r>
    </w:p>
    <w:p>
      <w:pPr>
        <w:pBdr>
          <w:left w:val="single" w:color="8E3B28" w:sz="16" w:space="12"/>
        </w:pBdr>
        <w:spacing w:after="160" w:before="160" w:line="320"/>
      </w:pPr>
      <w:r>
        <w:rPr>
          <w:rFonts w:ascii="Arial" w:cs="Arial" w:eastAsia="Arial" w:hAnsi="Arial"/>
          <w:i/>
          <w:iCs/>
          <w:color w:val="1E1B17"/>
          <w:sz w:val="24"/>
          <w:szCs w:val="24"/>
        </w:rPr>
        <w:t xml:space="preserve">Native Works produces, publishes, and sustains sovereign digital identities and presences on open protocols. Every product walks the client from dependency to full ownership — keys, content, audience, revenue — controlled by no one but their owner.</w:t>
      </w:r>
    </w:p>
    <w:p>
      <w:pPr>
        <w:pStyle w:val="Heading2"/>
        <w:spacing w:after="120" w:before="280"/>
      </w:pPr>
      <w:r>
        <w:rPr>
          <w:rFonts w:ascii="Arial" w:cs="Arial" w:eastAsia="Arial" w:hAnsi="Arial"/>
          <w:b/>
          <w:bCs/>
          <w:color w:val="1E1B17"/>
          <w:sz w:val="26"/>
          <w:szCs w:val="26"/>
        </w:rPr>
        <w:t xml:space="preserve">Public manifesto</w:t>
      </w:r>
    </w:p>
    <w:p>
      <w:pPr>
        <w:spacing w:after="120" w:before="80" w:line="300"/>
      </w:pPr>
      <w:r>
        <w:rPr>
          <w:rFonts w:ascii="Arial" w:cs="Arial" w:eastAsia="Arial" w:hAnsi="Arial"/>
          <w:sz w:val="22"/>
          <w:szCs w:val="22"/>
        </w:rPr>
        <w:t xml:space="preserve">Native Works is a sovereign digital operation — an AI-powered studio that produces sovereign digital presence, and the infrastructure to make it permanent. Its highest achievement is a client who has outgrown it. Every client walks a path from dependency to full ownership — keys, content, audience, revenue — requiring no one's permission, including ours. Yours to own. Yours to keep. Yours to take wherever you go. Be who you want, unstoppable.</w:t>
      </w:r>
    </w:p>
    <w:p>
      <w:pPr>
        <w:pStyle w:val="Heading2"/>
        <w:spacing w:after="120" w:before="280"/>
      </w:pPr>
      <w:r>
        <w:rPr>
          <w:rFonts w:ascii="Arial" w:cs="Arial" w:eastAsia="Arial" w:hAnsi="Arial"/>
          <w:b/>
          <w:bCs/>
          <w:color w:val="1E1B17"/>
          <w:sz w:val="26"/>
          <w:szCs w:val="26"/>
        </w:rPr>
        <w:t xml:space="preserve">Philosophical core</w:t>
      </w:r>
    </w:p>
    <w:p>
      <w:pPr>
        <w:pBdr>
          <w:left w:val="single" w:color="2B5E2B" w:sz="16" w:space="12"/>
        </w:pBdr>
        <w:spacing w:after="160" w:before="160" w:line="320"/>
      </w:pPr>
      <w:r>
        <w:rPr>
          <w:rFonts w:ascii="Arial" w:cs="Arial" w:eastAsia="Arial" w:hAnsi="Arial"/>
          <w:i/>
          <w:iCs/>
          <w:color w:val="1E1B17"/>
          <w:sz w:val="24"/>
          <w:szCs w:val="24"/>
        </w:rPr>
        <w:t xml:space="preserve">The natural state of things — returned.</w:t>
      </w:r>
    </w:p>
    <w:p>
      <w:pPr>
        <w:spacing w:after="120" w:before="80" w:line="300"/>
      </w:pPr>
      <w:r>
        <w:rPr>
          <w:rFonts w:ascii="Arial" w:cs="Arial" w:eastAsia="Arial" w:hAnsi="Arial"/>
          <w:sz w:val="22"/>
          <w:szCs w:val="22"/>
        </w:rPr>
        <w:t xml:space="preserve">This is not a tagline. It is the depth layer. It lives in the about page, in onboarding emails, in the moments where a client first recognises what they have actually just joined. It is the reward for those who look deeper.</w:t>
      </w:r>
    </w:p>
    <w:p>
      <w:pPr>
        <w:spacing w:after="60" w:before="480"/>
      </w:pPr>
      <w:r>
        <w:rPr>
          <w:rFonts w:ascii="Arial" w:cs="Arial" w:eastAsia="Arial" w:hAnsi="Arial"/>
          <w:color w:val="606060"/>
          <w:sz w:val="18"/>
          <w:szCs w:val="18"/>
        </w:rPr>
        <w:t xml:space="preserve">03</w:t>
      </w:r>
    </w:p>
    <w:p>
      <w:pPr>
        <w:pStyle w:val="Heading1"/>
        <w:spacing w:after="200" w:before="0"/>
      </w:pPr>
      <w:r>
        <w:rPr>
          <w:rFonts w:ascii="Arial" w:cs="Arial" w:eastAsia="Arial" w:hAnsi="Arial"/>
          <w:b/>
          <w:bCs/>
          <w:color w:val="1E1B17"/>
          <w:sz w:val="40"/>
          <w:szCs w:val="40"/>
        </w:rPr>
        <w:t xml:space="preserve">Messaging architecture</w:t>
      </w:r>
    </w:p>
    <w:p>
      <w:pPr>
        <w:pStyle w:val="Heading2"/>
        <w:spacing w:after="120" w:before="280"/>
      </w:pPr>
      <w:r>
        <w:rPr>
          <w:rFonts w:ascii="Arial" w:cs="Arial" w:eastAsia="Arial" w:hAnsi="Arial"/>
          <w:b/>
          <w:bCs/>
          <w:color w:val="1E1B17"/>
          <w:sz w:val="26"/>
          <w:szCs w:val="26"/>
        </w:rPr>
        <w:t xml:space="preserve">Hero headline</w:t>
      </w:r>
    </w:p>
    <w:p>
      <w:pPr>
        <w:pBdr>
          <w:left w:val="single" w:color="8E3B28" w:sz="16" w:space="12"/>
        </w:pBdr>
        <w:spacing w:after="160" w:before="160" w:line="320"/>
      </w:pPr>
      <w:r>
        <w:rPr>
          <w:rFonts w:ascii="Arial" w:cs="Arial" w:eastAsia="Arial" w:hAnsi="Arial"/>
          <w:i/>
          <w:iCs/>
          <w:color w:val="1E1B17"/>
          <w:sz w:val="24"/>
          <w:szCs w:val="24"/>
        </w:rPr>
        <w:t xml:space="preserve">Your site. Your audience. Your revenue. Nobody's platform.</w:t>
      </w:r>
    </w:p>
    <w:p>
      <w:pPr>
        <w:spacing w:after="120" w:before="80" w:line="300"/>
      </w:pPr>
      <w:r>
        <w:rPr>
          <w:rFonts w:ascii="Arial" w:cs="Arial" w:eastAsia="Arial" w:hAnsi="Arial"/>
          <w:sz w:val="22"/>
          <w:szCs w:val="22"/>
        </w:rPr>
        <w:t xml:space="preserve">The sequence matters. “Your site” is presence. “Your audience” is distribution. “Your revenue” is monetisation. “Nobody's platform” removes the threat that makes all three fragile. The entire Native Works value proposition in four beats.</w:t>
      </w:r>
    </w:p>
    <w:p>
      <w:pPr>
        <w:spacing w:after="120" w:before="80" w:line="300"/>
      </w:pPr>
      <w:r>
        <w:rPr>
          <w:rFonts w:ascii="Arial" w:cs="Arial" w:eastAsia="Arial" w:hAnsi="Arial"/>
          <w:sz w:val="22"/>
          <w:szCs w:val="22"/>
        </w:rPr>
        <w:t xml:space="preserve">“Site” is deliberately neutral — it implies every place you exist digitally. Instagram, YouTube, your website. The reader fills in their own blank.</w:t>
      </w:r>
    </w:p>
    <w:p>
      <w:pPr>
        <w:pStyle w:val="Heading2"/>
        <w:spacing w:after="120" w:before="280"/>
      </w:pPr>
      <w:r>
        <w:rPr>
          <w:rFonts w:ascii="Arial" w:cs="Arial" w:eastAsia="Arial" w:hAnsi="Arial"/>
          <w:b/>
          <w:bCs/>
          <w:color w:val="1E1B17"/>
          <w:sz w:val="26"/>
          <w:szCs w:val="26"/>
        </w:rPr>
        <w:t xml:space="preserve">Subheadline</w:t>
      </w:r>
    </w:p>
    <w:p>
      <w:pPr>
        <w:pBdr>
          <w:left w:val="single" w:color="8E3B28" w:sz="16" w:space="12"/>
        </w:pBdr>
        <w:spacing w:after="160" w:before="160" w:line="320"/>
      </w:pPr>
      <w:r>
        <w:rPr>
          <w:rFonts w:ascii="Arial" w:cs="Arial" w:eastAsia="Arial" w:hAnsi="Arial"/>
          <w:i/>
          <w:iCs/>
          <w:color w:val="1E1B17"/>
          <w:sz w:val="24"/>
          <w:szCs w:val="24"/>
        </w:rPr>
        <w:t xml:space="preserve">Your presence. Your rules. Forever.</w:t>
      </w:r>
    </w:p>
    <w:p>
      <w:pPr>
        <w:spacing w:after="120" w:before="80" w:line="300"/>
      </w:pPr>
      <w:r>
        <w:rPr>
          <w:rFonts w:ascii="Arial" w:cs="Arial" w:eastAsia="Arial" w:hAnsi="Arial"/>
          <w:sz w:val="22"/>
          <w:szCs w:val="22"/>
        </w:rPr>
        <w:t xml:space="preserve">The structure is cumulative. “Your presence” names what was built. “Your rules” names the control. “Forever” names the permanence of the relationship, not of any single platform or hosting arrangement. The promise is ownership and sovereignty — what a client leaves with, not where it has to live. This version makes no false claim of platform permanence and lands equally true for a Level 1 client on hosted infrastructure and a Level 5 client who has graduated to full self-sovereignty.</w:t>
      </w:r>
    </w:p>
    <w:p>
      <w:pPr>
        <w:pStyle w:val="Heading2"/>
        <w:spacing w:after="120" w:before="280"/>
      </w:pPr>
      <w:r>
        <w:rPr>
          <w:rFonts w:ascii="Arial" w:cs="Arial" w:eastAsia="Arial" w:hAnsi="Arial"/>
          <w:b/>
          <w:bCs/>
          <w:color w:val="1E1B17"/>
          <w:sz w:val="26"/>
          <w:szCs w:val="26"/>
        </w:rPr>
        <w:t xml:space="preserve">Body copy</w:t>
      </w:r>
    </w:p>
    <w:p>
      <w:pPr>
        <w:spacing w:after="120" w:before="80" w:line="300"/>
      </w:pPr>
      <w:r>
        <w:rPr>
          <w:rFonts w:ascii="Arial" w:cs="Arial" w:eastAsia="Arial" w:hAnsi="Arial"/>
          <w:sz w:val="22"/>
          <w:szCs w:val="22"/>
        </w:rPr>
        <w:t xml:space="preserve">Most digital presence is rented. Yours should be owned. AI-powered production, your content, your audience, your revenue — on infrastructure that answers only to you.</w:t>
      </w:r>
    </w:p>
    <w:p>
      <w:pPr>
        <w:pStyle w:val="Heading2"/>
        <w:spacing w:after="120" w:before="280"/>
      </w:pPr>
      <w:r>
        <w:rPr>
          <w:rFonts w:ascii="Arial" w:cs="Arial" w:eastAsia="Arial" w:hAnsi="Arial"/>
          <w:b/>
          <w:bCs/>
          <w:color w:val="1E1B17"/>
          <w:sz w:val="26"/>
          <w:szCs w:val="26"/>
        </w:rPr>
        <w:t xml:space="preserve">Call to action</w:t>
      </w:r>
    </w:p>
    <w:p>
      <w:pPr>
        <w:pBdr>
          <w:left w:val="single" w:color="8E3B28" w:sz="16" w:space="12"/>
        </w:pBdr>
        <w:spacing w:after="160" w:before="160" w:line="320"/>
      </w:pPr>
      <w:r>
        <w:rPr>
          <w:rFonts w:ascii="Arial" w:cs="Arial" w:eastAsia="Arial" w:hAnsi="Arial"/>
          <w:i/>
          <w:iCs/>
          <w:color w:val="1E1B17"/>
          <w:sz w:val="24"/>
          <w:szCs w:val="24"/>
        </w:rPr>
        <w:t xml:space="preserve">Own your presence →</w:t>
      </w:r>
    </w:p>
    <w:p>
      <w:pPr>
        <w:spacing w:after="120" w:before="80" w:line="300"/>
      </w:pPr>
      <w:r>
        <w:rPr>
          <w:rFonts w:ascii="Arial" w:cs="Arial" w:eastAsia="Arial" w:hAnsi="Arial"/>
          <w:sz w:val="22"/>
          <w:szCs w:val="22"/>
        </w:rPr>
        <w:t xml:space="preserve">“Own your presence” names the transformation. It echoes the headline: “nobody's platform” → “own your presence”. The visitor reads the problem and the answer in under two seconds. The arrow implies a journey, not a transaction.</w:t>
      </w:r>
    </w:p>
    <w:p>
      <w:pPr>
        <w:pStyle w:val="Heading2"/>
        <w:spacing w:after="120" w:before="280"/>
      </w:pPr>
      <w:r>
        <w:rPr>
          <w:rFonts w:ascii="Arial" w:cs="Arial" w:eastAsia="Arial" w:hAnsi="Arial"/>
          <w:b/>
          <w:bCs/>
          <w:color w:val="1E1B17"/>
          <w:sz w:val="26"/>
          <w:szCs w:val="26"/>
        </w:rPr>
        <w:t xml:space="preserve">Slogan &amp;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Element</w:t>
            </w:r>
          </w:p>
        </w:tc>
        <w:tc>
          <w:tcPr>
            <w:tcW w:type="dxa" w:w="36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Text</w:t>
            </w:r>
          </w:p>
        </w:tc>
        <w:tc>
          <w:tcPr>
            <w:tcW w:type="dxa" w:w="396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Usage</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Slogan</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Be who you want, unstoppable.</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Brand campaigns, packaging, graduation moments</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Tagline</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Built sovereign. Yours forever.</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Product descriptions, technical contexts</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Philosophical core</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The natural state of things — returned.</w:t>
            </w:r>
          </w:p>
        </w:tc>
        <w:tc>
          <w:tcPr>
            <w:tcW w:type="dxa" w:w="39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About page, depth layer, never page one</w:t>
            </w:r>
          </w:p>
        </w:tc>
      </w:tr>
    </w:tbl>
    <w:p>
      <w:pPr>
        <w:spacing w:after="60" w:before="480"/>
      </w:pPr>
      <w:r>
        <w:rPr>
          <w:rFonts w:ascii="Arial" w:cs="Arial" w:eastAsia="Arial" w:hAnsi="Arial"/>
          <w:color w:val="606060"/>
          <w:sz w:val="18"/>
          <w:szCs w:val="18"/>
        </w:rPr>
        <w:t xml:space="preserve">04</w:t>
      </w:r>
    </w:p>
    <w:p>
      <w:pPr>
        <w:pStyle w:val="Heading1"/>
        <w:spacing w:after="200" w:before="0"/>
      </w:pPr>
      <w:r>
        <w:rPr>
          <w:rFonts w:ascii="Arial" w:cs="Arial" w:eastAsia="Arial" w:hAnsi="Arial"/>
          <w:b/>
          <w:bCs/>
          <w:color w:val="1E1B17"/>
          <w:sz w:val="40"/>
          <w:szCs w:val="40"/>
        </w:rPr>
        <w:t xml:space="preserve">Brand doctrine</w:t>
      </w:r>
    </w:p>
    <w:p>
      <w:pPr>
        <w:pStyle w:val="Heading2"/>
        <w:spacing w:after="120" w:before="280"/>
      </w:pPr>
      <w:r>
        <w:rPr>
          <w:rFonts w:ascii="Arial" w:cs="Arial" w:eastAsia="Arial" w:hAnsi="Arial"/>
          <w:b/>
          <w:bCs/>
          <w:color w:val="1E1B17"/>
          <w:sz w:val="26"/>
          <w:szCs w:val="26"/>
        </w:rPr>
        <w:t xml:space="preserve">The Trojan Horse</w:t>
      </w:r>
    </w:p>
    <w:p>
      <w:pPr>
        <w:spacing w:after="120" w:before="80" w:line="300"/>
      </w:pPr>
      <w:r>
        <w:rPr>
          <w:rFonts w:ascii="Arial" w:cs="Arial" w:eastAsia="Arial" w:hAnsi="Arial"/>
          <w:sz w:val="22"/>
          <w:szCs w:val="22"/>
        </w:rPr>
        <w:t xml:space="preserve">The front door is warm, modern, AI-forward, and appealing to a mainstream business owner or creator. It does not say depth-layer language on page one. It says: we build your digital presence, you own everything, AI-powered, looks incredible, works immediately. That is the door.</w:t>
      </w:r>
    </w:p>
    <w:p>
      <w:pPr>
        <w:spacing w:after="120" w:before="80" w:line="300"/>
      </w:pPr>
      <w:r>
        <w:rPr>
          <w:rFonts w:ascii="Arial" w:cs="Arial" w:eastAsia="Arial" w:hAnsi="Arial"/>
          <w:sz w:val="22"/>
          <w:szCs w:val="22"/>
        </w:rPr>
        <w:t xml:space="preserve">Once they are inside — once they have bought, once they have felt what ownership feels like — the journey reveals itself. Naturally. Experientially. They do not get converted. They graduate.</w:t>
      </w:r>
    </w:p>
    <w:p>
      <w:pPr>
        <w:spacing w:after="120" w:before="80" w:line="300"/>
      </w:pPr>
      <w:r>
        <w:rPr>
          <w:rFonts w:ascii="Arial" w:cs="Arial" w:eastAsia="Arial" w:hAnsi="Arial"/>
          <w:b/>
          <w:bCs/>
          <w:sz w:val="22"/>
          <w:szCs w:val="22"/>
        </w:rPr>
        <w:t xml:space="preserve">Surface language rule — ABSOLUTE. Always use surface language in all mainstream-facing copy, products, and interfaces. Depth readers will recognise without it being named.</w:t>
      </w:r>
    </w:p>
    <w:p>
      <w:pPr>
        <w:pStyle w:val="Heading2"/>
        <w:spacing w:after="120" w:before="280"/>
      </w:pPr>
      <w:r>
        <w:rPr>
          <w:rFonts w:ascii="Arial" w:cs="Arial" w:eastAsia="Arial" w:hAnsi="Arial"/>
          <w:b/>
          <w:bCs/>
          <w:color w:val="1E1B17"/>
          <w:sz w:val="26"/>
          <w:szCs w:val="26"/>
        </w:rPr>
        <w:t xml:space="preserve">Two-layer language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Layer</w:t>
            </w:r>
          </w:p>
        </w:tc>
        <w:tc>
          <w:tcPr>
            <w:tcW w:type="dxa" w:w="24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Audience</w:t>
            </w:r>
          </w:p>
        </w:tc>
        <w:tc>
          <w:tcPr>
            <w:tcW w:type="dxa" w:w="30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Language</w:t>
            </w:r>
          </w:p>
        </w:tc>
        <w:tc>
          <w:tcPr>
            <w:tcW w:type="dxa" w:w="276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Feeling</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i w:val="false"/>
                <w:iCs w:val="false"/>
                <w:color w:val="1E1B17"/>
                <w:sz w:val="22"/>
                <w:szCs w:val="22"/>
              </w:rPr>
              <w:t xml:space="preserve">Surface</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i w:val="false"/>
                <w:iCs w:val="false"/>
                <w:color w:val="1E1B17"/>
                <w:sz w:val="22"/>
                <w:szCs w:val="22"/>
              </w:rPr>
              <w:t xml:space="preserve">Mainstream business, creators</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i w:val="false"/>
                <w:iCs w:val="false"/>
                <w:color w:val="1E1B17"/>
                <w:sz w:val="22"/>
                <w:szCs w:val="22"/>
              </w:rPr>
              <w:t xml:space="preserve">Own your IP, platform independence, AI-powered</w:t>
            </w:r>
          </w:p>
        </w:tc>
        <w:tc>
          <w:tcPr>
            <w:tcW w:type="dxa" w:w="27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i/>
                <w:iCs/>
                <w:color w:val="1E1B17"/>
                <w:sz w:val="22"/>
                <w:szCs w:val="22"/>
              </w:rPr>
              <w:t xml:space="preserve">“This is the best studio I've ever seen”</w:t>
            </w:r>
          </w:p>
        </w:tc>
      </w:tr>
      <w:tr>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i w:val="false"/>
                <w:iCs w:val="false"/>
                <w:color w:val="1E1B17"/>
                <w:sz w:val="22"/>
                <w:szCs w:val="22"/>
              </w:rPr>
              <w:t xml:space="preserve">Depth</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i w:val="false"/>
                <w:iCs w:val="false"/>
                <w:color w:val="1E1B17"/>
                <w:sz w:val="22"/>
                <w:szCs w:val="22"/>
              </w:rPr>
              <w:t xml:space="preserve">Sovereign seekers, protocol natives</w:t>
            </w:r>
          </w:p>
        </w:tc>
        <w:tc>
          <w:tcPr>
            <w:tcW w:type="dxa" w:w="30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i w:val="false"/>
                <w:iCs w:val="false"/>
                <w:color w:val="1E1B17"/>
                <w:sz w:val="22"/>
                <w:szCs w:val="22"/>
              </w:rPr>
              <w:t xml:space="preserve">Permissionless, unstoppable, self-custodied</w:t>
            </w:r>
          </w:p>
        </w:tc>
        <w:tc>
          <w:tcPr>
            <w:tcW w:type="dxa" w:w="27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i/>
                <w:iCs/>
                <w:color w:val="1E1B17"/>
                <w:sz w:val="22"/>
                <w:szCs w:val="22"/>
              </w:rPr>
              <w:t xml:space="preserve">“These people actually get it”</w:t>
            </w:r>
          </w:p>
        </w:tc>
      </w:tr>
    </w:tbl>
    <w:p>
      <w:pPr>
        <w:spacing w:after="60" w:before="480"/>
      </w:pPr>
      <w:r>
        <w:rPr>
          <w:rFonts w:ascii="Arial" w:cs="Arial" w:eastAsia="Arial" w:hAnsi="Arial"/>
          <w:color w:val="606060"/>
          <w:sz w:val="18"/>
          <w:szCs w:val="18"/>
        </w:rPr>
        <w:t xml:space="preserve">05</w:t>
      </w:r>
    </w:p>
    <w:p>
      <w:pPr>
        <w:pStyle w:val="Heading1"/>
        <w:spacing w:after="200" w:before="0"/>
      </w:pPr>
      <w:r>
        <w:rPr>
          <w:rFonts w:ascii="Arial" w:cs="Arial" w:eastAsia="Arial" w:hAnsi="Arial"/>
          <w:b/>
          <w:bCs/>
          <w:color w:val="1E1B17"/>
          <w:sz w:val="40"/>
          <w:szCs w:val="40"/>
        </w:rPr>
        <w:t xml:space="preserve">The mark</w:t>
      </w:r>
    </w:p>
    <w:p>
      <w:pPr>
        <w:spacing w:after="120" w:before="80" w:line="300"/>
      </w:pPr>
      <w:r>
        <w:rPr>
          <w:rFonts w:ascii="Arial" w:cs="Arial" w:eastAsia="Arial" w:hAnsi="Arial"/>
          <w:sz w:val="22"/>
          <w:szCs w:val="22"/>
        </w:rPr>
        <w:t xml:space="preserve">The mark is a minimal compass. A thin outer ring. A sharp needle. True North always points up.</w:t>
      </w:r>
    </w:p>
    <w:p>
      <w:pPr>
        <w:spacing w:after="120" w:before="80" w:line="300"/>
      </w:pPr>
      <w:r>
        <w:rPr>
          <w:rFonts w:ascii="Arial" w:cs="Arial" w:eastAsia="Arial" w:hAnsi="Arial"/>
          <w:sz w:val="22"/>
          <w:szCs w:val="22"/>
        </w:rPr>
        <w:t xml:space="preserve">A compass works without permission. A compass works without a platform. A compass works the same in every country, under every regime, in every era. That is Native Works in a single object.</w:t>
      </w:r>
    </w:p>
    <w:p>
      <w:pPr>
        <w:pStyle w:val="Heading2"/>
        <w:spacing w:after="120" w:before="280"/>
      </w:pPr>
      <w:r>
        <w:rPr>
          <w:rFonts w:ascii="Arial" w:cs="Arial" w:eastAsia="Arial" w:hAnsi="Arial"/>
          <w:b/>
          <w:bCs/>
          <w:color w:val="1E1B17"/>
          <w:sz w:val="26"/>
          <w:szCs w:val="26"/>
        </w:rPr>
        <w:t xml:space="preserve">The layers</w:t>
      </w:r>
    </w:p>
    <w:p>
      <w:pPr>
        <w:pStyle w:val="ListParagraph"/>
        <w:numPr>
          <w:ilvl w:val="0"/>
          <w:numId w:val="2"/>
        </w:numPr>
      </w:pPr>
      <w:r>
        <w:rPr>
          <w:rFonts w:ascii="Arial" w:cs="Arial" w:eastAsia="Arial" w:hAnsi="Arial"/>
          <w:sz w:val="22"/>
          <w:szCs w:val="22"/>
        </w:rPr>
        <w:t xml:space="preserve">Surface read — Direction. Navigation. Confidence. A studio that knows where it is going.</w:t>
      </w:r>
    </w:p>
    <w:p>
      <w:pPr>
        <w:pStyle w:val="ListParagraph"/>
        <w:numPr>
          <w:ilvl w:val="0"/>
          <w:numId w:val="2"/>
        </w:numPr>
      </w:pPr>
      <w:r>
        <w:rPr>
          <w:rFonts w:ascii="Arial" w:cs="Arial" w:eastAsia="Arial" w:hAnsi="Arial"/>
          <w:sz w:val="22"/>
          <w:szCs w:val="22"/>
        </w:rPr>
        <w:t xml:space="preserve">Mid read — Independence. The explorer's tool. You find your own way.</w:t>
      </w:r>
    </w:p>
    <w:p>
      <w:pPr>
        <w:pStyle w:val="ListParagraph"/>
        <w:numPr>
          <w:ilvl w:val="0"/>
          <w:numId w:val="2"/>
        </w:numPr>
      </w:pPr>
      <w:r>
        <w:rPr>
          <w:rFonts w:ascii="Arial" w:cs="Arial" w:eastAsia="Arial" w:hAnsi="Arial"/>
          <w:sz w:val="22"/>
          <w:szCs w:val="22"/>
        </w:rPr>
        <w:t xml:space="preserve">Deep read — True North. Sovereignty. A tool that answers only to magnetic north — not to any platform, algorithm, or landlord.</w:t>
      </w:r>
    </w:p>
    <w:p>
      <w:pPr>
        <w:pStyle w:val="Heading2"/>
        <w:spacing w:after="120" w:before="280"/>
      </w:pPr>
      <w:r>
        <w:rPr>
          <w:rFonts w:ascii="Arial" w:cs="Arial" w:eastAsia="Arial" w:hAnsi="Arial"/>
          <w:b/>
          <w:bCs/>
          <w:color w:val="1E1B17"/>
          <w:sz w:val="26"/>
          <w:szCs w:val="26"/>
        </w:rPr>
        <w:t xml:space="preserve">Usage rules</w:t>
      </w:r>
    </w:p>
    <w:p>
      <w:pPr>
        <w:pStyle w:val="ListParagraph"/>
        <w:numPr>
          <w:ilvl w:val="0"/>
          <w:numId w:val="2"/>
        </w:numPr>
      </w:pPr>
      <w:r>
        <w:rPr>
          <w:rFonts w:ascii="Arial" w:cs="Arial" w:eastAsia="Arial" w:hAnsi="Arial"/>
          <w:sz w:val="22"/>
          <w:szCs w:val="22"/>
        </w:rPr>
        <w:t xml:space="preserve">The needle always points up. Never rotated.</w:t>
      </w:r>
    </w:p>
    <w:p>
      <w:pPr>
        <w:pStyle w:val="ListParagraph"/>
        <w:numPr>
          <w:ilvl w:val="0"/>
          <w:numId w:val="2"/>
        </w:numPr>
      </w:pPr>
      <w:r>
        <w:rPr>
          <w:rFonts w:ascii="Arial" w:cs="Arial" w:eastAsia="Arial" w:hAnsi="Arial"/>
          <w:sz w:val="22"/>
          <w:szCs w:val="22"/>
        </w:rPr>
        <w:t xml:space="preserve">True North (#8E3B28) appears on the north needle only. Never as a background fill. Never as a block colour.</w:t>
      </w:r>
    </w:p>
    <w:p>
      <w:pPr>
        <w:pStyle w:val="ListParagraph"/>
        <w:numPr>
          <w:ilvl w:val="0"/>
          <w:numId w:val="2"/>
        </w:numPr>
      </w:pPr>
      <w:r>
        <w:rPr>
          <w:rFonts w:ascii="Arial" w:cs="Arial" w:eastAsia="Arial" w:hAnsi="Arial"/>
          <w:sz w:val="22"/>
          <w:szCs w:val="22"/>
        </w:rPr>
        <w:t xml:space="preserve">On light backgrounds: ring and south needle in off-black (#1E1B17).</w:t>
      </w:r>
    </w:p>
    <w:p>
      <w:pPr>
        <w:pStyle w:val="ListParagraph"/>
        <w:numPr>
          <w:ilvl w:val="0"/>
          <w:numId w:val="2"/>
        </w:numPr>
      </w:pPr>
      <w:r>
        <w:rPr>
          <w:rFonts w:ascii="Arial" w:cs="Arial" w:eastAsia="Arial" w:hAnsi="Arial"/>
          <w:sz w:val="22"/>
          <w:szCs w:val="22"/>
        </w:rPr>
        <w:t xml:space="preserve">On dark backgrounds: ring and south needle in warm white (#F4F0E8). North needle always True North.</w:t>
      </w:r>
    </w:p>
    <w:p>
      <w:pPr>
        <w:pStyle w:val="ListParagraph"/>
        <w:numPr>
          <w:ilvl w:val="0"/>
          <w:numId w:val="2"/>
        </w:numPr>
      </w:pPr>
      <w:r>
        <w:rPr>
          <w:rFonts w:ascii="Arial" w:cs="Arial" w:eastAsia="Arial" w:hAnsi="Arial"/>
          <w:sz w:val="22"/>
          <w:szCs w:val="22"/>
        </w:rPr>
        <w:t xml:space="preserve">The mark may stand alone as a stamp. The wordmark never stands alone without the mark.</w:t>
      </w:r>
    </w:p>
    <w:p>
      <w:pPr>
        <w:pStyle w:val="Heading2"/>
        <w:spacing w:after="120" w:before="280"/>
      </w:pPr>
      <w:r>
        <w:rPr>
          <w:rFonts w:ascii="Arial" w:cs="Arial" w:eastAsia="Arial" w:hAnsi="Arial"/>
          <w:b/>
          <w:bCs/>
          <w:color w:val="1E1B17"/>
          <w:sz w:val="26"/>
          <w:szCs w:val="26"/>
        </w:rPr>
        <w:t xml:space="preserve">The wordmark</w:t>
      </w:r>
    </w:p>
    <w:p>
      <w:pPr>
        <w:spacing w:after="120" w:before="80" w:line="300"/>
      </w:pPr>
      <w:r>
        <w:rPr>
          <w:rFonts w:ascii="Arial" w:cs="Arial" w:eastAsia="Arial" w:hAnsi="Arial"/>
          <w:sz w:val="22"/>
          <w:szCs w:val="22"/>
        </w:rPr>
        <w:t xml:space="preserve">Native Works. Two words. “Native” is the philosophy — set in Canela display serif. “Works” is the verb, the product, the proof — set in DM Sans. The contrast between the two typefaces reinforces the brand duality: historic depth, contemporary clarity.</w:t>
      </w:r>
    </w:p>
    <w:p>
      <w:pPr>
        <w:spacing w:after="60" w:before="480"/>
      </w:pPr>
      <w:r>
        <w:rPr>
          <w:rFonts w:ascii="Arial" w:cs="Arial" w:eastAsia="Arial" w:hAnsi="Arial"/>
          <w:color w:val="606060"/>
          <w:sz w:val="18"/>
          <w:szCs w:val="18"/>
        </w:rPr>
        <w:t xml:space="preserve">06</w:t>
      </w:r>
    </w:p>
    <w:p>
      <w:pPr>
        <w:pStyle w:val="Heading1"/>
        <w:spacing w:after="200" w:before="0"/>
      </w:pPr>
      <w:r>
        <w:rPr>
          <w:rFonts w:ascii="Arial" w:cs="Arial" w:eastAsia="Arial" w:hAnsi="Arial"/>
          <w:b/>
          <w:bCs/>
          <w:color w:val="1E1B17"/>
          <w:sz w:val="40"/>
          <w:szCs w:val="40"/>
        </w:rPr>
        <w:t xml:space="preserve">Colour palette</w:t>
      </w:r>
    </w:p>
    <w:p>
      <w:pPr>
        <w:spacing w:after="120" w:before="80" w:line="300"/>
      </w:pPr>
      <w:r>
        <w:rPr>
          <w:rFonts w:ascii="Arial" w:cs="Arial" w:eastAsia="Arial" w:hAnsi="Arial"/>
          <w:sz w:val="22"/>
          <w:szCs w:val="22"/>
        </w:rPr>
        <w:t xml:space="preserve">Four colours. Two foundations. Two accents. The foundations carry everything. The accents do specific, deliberate work. They do not compete. They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760"/>
      </w:tblGrid>
      <w:tr>
        <w:trPr>
          <w:tblHeader/>
        </w:trPr>
        <w:tc>
          <w:tcPr>
            <w:tcW w:type="dxa" w:w="16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Name</w:t>
            </w:r>
          </w:p>
        </w:tc>
        <w:tc>
          <w:tcPr>
            <w:tcW w:type="dxa" w:w="12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Hex</w:t>
            </w:r>
          </w:p>
        </w:tc>
        <w:tc>
          <w:tcPr>
            <w:tcW w:type="dxa" w:w="28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Role</w:t>
            </w:r>
          </w:p>
        </w:tc>
        <w:tc>
          <w:tcPr>
            <w:tcW w:type="dxa" w:w="376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Usage rule</w:t>
            </w:r>
          </w:p>
        </w:tc>
      </w:tr>
      <w:tr>
        <w:tc>
          <w:tcPr>
            <w:tcW w:type="dxa" w:w="1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Off-black</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#1E1B17</w:t>
            </w:r>
          </w:p>
        </w:tc>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Structure. Authority. The foundation.</w:t>
            </w:r>
          </w:p>
        </w:tc>
        <w:tc>
          <w:tcPr>
            <w:tcW w:type="dxa" w:w="37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Headlines, body text, mark on light backgrounds.</w:t>
            </w:r>
          </w:p>
        </w:tc>
      </w:tr>
      <w:tr>
        <w:tc>
          <w:tcPr>
            <w:tcW w:type="dxa" w:w="1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Warm white</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#F4F0E8</w:t>
            </w:r>
          </w:p>
        </w:tc>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Space. Breath. The canvas.</w:t>
            </w:r>
          </w:p>
        </w:tc>
        <w:tc>
          <w:tcPr>
            <w:tcW w:type="dxa" w:w="37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Backgrounds, breathing room, mark on dark backgrounds.</w:t>
            </w:r>
          </w:p>
        </w:tc>
      </w:tr>
      <w:tr>
        <w:tc>
          <w:tcPr>
            <w:tcW w:type="dxa" w:w="1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True North</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#8E3B28</w:t>
            </w:r>
          </w:p>
        </w:tc>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The needle. Always. Non-negotiable.</w:t>
            </w:r>
          </w:p>
        </w:tc>
        <w:tc>
          <w:tcPr>
            <w:tcW w:type="dxa" w:w="37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North needle only. CTA text, links, action moments. Never as fill.</w:t>
            </w:r>
          </w:p>
        </w:tc>
      </w:tr>
      <w:tr>
        <w:tc>
          <w:tcPr>
            <w:tcW w:type="dxa" w:w="1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Forest</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#2B5E2B</w:t>
            </w:r>
          </w:p>
        </w:tc>
        <w:tc>
          <w:tcPr>
            <w:tcW w:type="dxa" w:w="2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Permanence. Destination. Graduation.</w:t>
            </w:r>
          </w:p>
        </w:tc>
        <w:tc>
          <w:tcPr>
            <w:tcW w:type="dxa" w:w="37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WORKS wordmark. Graduation moments. Ownership confirmations.</w:t>
            </w:r>
          </w:p>
        </w:tc>
      </w:tr>
    </w:tbl>
    <w:p>
      <w:pPr>
        <w:pStyle w:val="Heading2"/>
        <w:spacing w:after="120" w:before="280"/>
      </w:pPr>
      <w:r>
        <w:rPr>
          <w:rFonts w:ascii="Arial" w:cs="Arial" w:eastAsia="Arial" w:hAnsi="Arial"/>
          <w:b/>
          <w:bCs/>
          <w:color w:val="1E1B17"/>
          <w:sz w:val="26"/>
          <w:szCs w:val="26"/>
        </w:rPr>
        <w:t xml:space="preserve">Accent colour rules</w:t>
      </w:r>
    </w:p>
    <w:p>
      <w:pPr>
        <w:spacing w:after="120" w:before="80" w:line="300"/>
      </w:pPr>
      <w:r>
        <w:rPr>
          <w:rFonts w:ascii="Arial" w:cs="Arial" w:eastAsia="Arial" w:hAnsi="Arial"/>
          <w:sz w:val="22"/>
          <w:szCs w:val="22"/>
        </w:rPr>
        <w:t xml:space="preserve">True North is the needle. Always. It appears in one place in the mark: the north-pointing half of the compass needle. In UI and copy it appears as the primary action colour — CTA text, links, highlighted moments. Never as a large fill.</w:t>
      </w:r>
    </w:p>
    <w:p>
      <w:pPr>
        <w:spacing w:after="120" w:before="80" w:line="300"/>
      </w:pPr>
      <w:r>
        <w:rPr>
          <w:rFonts w:ascii="Arial" w:cs="Arial" w:eastAsia="Arial" w:hAnsi="Arial"/>
          <w:sz w:val="22"/>
          <w:szCs w:val="22"/>
        </w:rPr>
        <w:t xml:space="preserve">Forest is permanence. It appears in the “Works” wordmark element, graduation moments, ownership confirmations. It is the colour of something that has been growing for a long time.</w:t>
      </w:r>
    </w:p>
    <w:p>
      <w:pPr>
        <w:spacing w:after="120" w:before="80" w:line="300"/>
      </w:pPr>
      <w:r>
        <w:rPr>
          <w:rFonts w:ascii="Arial" w:cs="Arial" w:eastAsia="Arial" w:hAnsi="Arial"/>
          <w:sz w:val="22"/>
          <w:szCs w:val="22"/>
        </w:rPr>
        <w:t xml:space="preserve">Together: True North brings you in. Forest tells you where you are going.</w:t>
      </w:r>
    </w:p>
    <w:p>
      <w:pPr>
        <w:spacing w:after="60" w:before="480"/>
      </w:pPr>
      <w:r>
        <w:rPr>
          <w:rFonts w:ascii="Arial" w:cs="Arial" w:eastAsia="Arial" w:hAnsi="Arial"/>
          <w:color w:val="606060"/>
          <w:sz w:val="18"/>
          <w:szCs w:val="18"/>
        </w:rPr>
        <w:t xml:space="preserve">07</w:t>
      </w:r>
    </w:p>
    <w:p>
      <w:pPr>
        <w:pStyle w:val="Heading1"/>
        <w:spacing w:after="200" w:before="0"/>
      </w:pPr>
      <w:r>
        <w:rPr>
          <w:rFonts w:ascii="Arial" w:cs="Arial" w:eastAsia="Arial" w:hAnsi="Arial"/>
          <w:b/>
          <w:bCs/>
          <w:color w:val="1E1B17"/>
          <w:sz w:val="40"/>
          <w:szCs w:val="40"/>
        </w:rPr>
        <w:t xml:space="preserve">Typography</w:t>
      </w:r>
    </w:p>
    <w:p>
      <w:pPr>
        <w:pStyle w:val="Heading2"/>
        <w:spacing w:after="120" w:before="280"/>
      </w:pPr>
      <w:r>
        <w:rPr>
          <w:rFonts w:ascii="Arial" w:cs="Arial" w:eastAsia="Arial" w:hAnsi="Arial"/>
          <w:b/>
          <w:bCs/>
          <w:color w:val="1E1B17"/>
          <w:sz w:val="26"/>
          <w:szCs w:val="26"/>
        </w:rPr>
        <w:t xml:space="preserve">Display: Canela</w:t>
      </w:r>
    </w:p>
    <w:p>
      <w:pPr>
        <w:spacing w:after="120" w:before="80" w:line="300"/>
      </w:pPr>
      <w:r>
        <w:rPr>
          <w:rFonts w:ascii="Arial" w:cs="Arial" w:eastAsia="Arial" w:hAnsi="Arial"/>
          <w:sz w:val="22"/>
          <w:szCs w:val="22"/>
        </w:rPr>
        <w:t xml:space="preserve">Canela by Commercial Type. Licensed. Used for all headlines, hero copy, pull quotes, and the “Native” element of the wordmark. Warm, architectural, considered. Feels editorial and precise simultaneously. Set in regular weight for maximum elegance at display sizes.</w:t>
      </w:r>
    </w:p>
    <w:p>
      <w:pPr>
        <w:pStyle w:val="Heading2"/>
        <w:spacing w:after="120" w:before="280"/>
      </w:pPr>
      <w:r>
        <w:rPr>
          <w:rFonts w:ascii="Arial" w:cs="Arial" w:eastAsia="Arial" w:hAnsi="Arial"/>
          <w:b/>
          <w:bCs/>
          <w:color w:val="1E1B17"/>
          <w:sz w:val="26"/>
          <w:szCs w:val="26"/>
        </w:rPr>
        <w:t xml:space="preserve">Body: DM Sans</w:t>
      </w:r>
    </w:p>
    <w:p>
      <w:pPr>
        <w:spacing w:after="120" w:before="80" w:line="300"/>
      </w:pPr>
      <w:r>
        <w:rPr>
          <w:rFonts w:ascii="Arial" w:cs="Arial" w:eastAsia="Arial" w:hAnsi="Arial"/>
          <w:sz w:val="22"/>
          <w:szCs w:val="22"/>
        </w:rPr>
        <w:t xml:space="preserve">DM Sans by Colophon Foundry. Open source via Google Fonts. Used for all body copy, UI elements, navigation, captions, and the “Works” element of the wordmark. Geometric, warm, exceptionally legible at small sizes. The modern counterpart to Canela's authority.</w:t>
      </w:r>
    </w:p>
    <w:p>
      <w:pPr>
        <w:pStyle w:val="Heading2"/>
        <w:spacing w:after="120" w:before="280"/>
      </w:pPr>
      <w:r>
        <w:rPr>
          <w:rFonts w:ascii="Arial" w:cs="Arial" w:eastAsia="Arial" w:hAnsi="Arial"/>
          <w:b/>
          <w:bCs/>
          <w:color w:val="1E1B17"/>
          <w:sz w:val="26"/>
          <w:szCs w:val="26"/>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Name</w:t>
            </w:r>
          </w:p>
        </w:tc>
        <w:tc>
          <w:tcPr>
            <w:tcW w:type="dxa" w:w="18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Size</w:t>
            </w:r>
          </w:p>
        </w:tc>
        <w:tc>
          <w:tcPr>
            <w:tcW w:type="dxa" w:w="24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Font</w:t>
            </w:r>
          </w:p>
        </w:tc>
        <w:tc>
          <w:tcPr>
            <w:tcW w:type="dxa" w:w="336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Usage</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Hero</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64–72px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Canela Regular</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Above-fold headline</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Display</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40–48px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Canela Regular</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Section headlines</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Heading</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28–32px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Canela Regular</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Sub-sections</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Subheading</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20–24px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DM Sans 500</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Labels, card titles</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Body</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16–18px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DM Sans 400</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Paragraph text</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Small</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14px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DM Sans 400</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Captions, meta</w:t>
            </w:r>
          </w:p>
        </w:tc>
      </w:tr>
      <w:tr>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2"/>
                <w:szCs w:val="22"/>
              </w:rPr>
              <w:t xml:space="preserve">Caption</w:t>
            </w:r>
          </w:p>
        </w:tc>
        <w:tc>
          <w:tcPr>
            <w:tcW w:type="dxa" w:w="1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12px</w:t>
            </w:r>
          </w:p>
        </w:tc>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DM Sans 400</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2"/>
                <w:szCs w:val="22"/>
              </w:rPr>
              <w:t xml:space="preserve">Fine print, labels</w:t>
            </w:r>
          </w:p>
        </w:tc>
      </w:tr>
    </w:tbl>
    <w:p>
      <w:pPr>
        <w:spacing w:after="60" w:before="480"/>
      </w:pPr>
      <w:r>
        <w:rPr>
          <w:rFonts w:ascii="Arial" w:cs="Arial" w:eastAsia="Arial" w:hAnsi="Arial"/>
          <w:color w:val="606060"/>
          <w:sz w:val="18"/>
          <w:szCs w:val="18"/>
        </w:rPr>
        <w:t xml:space="preserve">08</w:t>
      </w:r>
    </w:p>
    <w:p>
      <w:pPr>
        <w:pStyle w:val="Heading1"/>
        <w:spacing w:after="200" w:before="0"/>
      </w:pPr>
      <w:r>
        <w:rPr>
          <w:rFonts w:ascii="Arial" w:cs="Arial" w:eastAsia="Arial" w:hAnsi="Arial"/>
          <w:b/>
          <w:bCs/>
          <w:color w:val="1E1B17"/>
          <w:sz w:val="40"/>
          <w:szCs w:val="40"/>
        </w:rPr>
        <w:t xml:space="preserve">Audience personas</w:t>
      </w:r>
    </w:p>
    <w:p>
      <w:pPr>
        <w:spacing w:after="120" w:before="80" w:line="300"/>
      </w:pPr>
      <w:r>
        <w:rPr>
          <w:rFonts w:ascii="Arial" w:cs="Arial" w:eastAsia="Arial" w:hAnsi="Arial"/>
          <w:sz w:val="22"/>
          <w:szCs w:val="22"/>
        </w:rPr>
        <w:t xml:space="preserve">Native Works serves five distinct personas. The surface language speaks to all. The depth language rewards those who look closer. Each persona hears what they need to hear without the others being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Persona</w:t>
            </w:r>
          </w:p>
        </w:tc>
        <w:tc>
          <w:tcPr>
            <w:tcW w:type="dxa" w:w="348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Surface language</w:t>
            </w:r>
          </w:p>
        </w:tc>
        <w:tc>
          <w:tcPr>
            <w:tcW w:type="dxa" w:w="3480"/>
            <w:tcBorders>
              <w:top w:val="single" w:color="CCCCCC" w:sz="4"/>
              <w:left w:val="single" w:color="CCCCCC" w:sz="4"/>
              <w:bottom w:val="single" w:color="CCCCCC" w:sz="4"/>
              <w:right w:val="single" w:color="CCCCCC" w:sz="4"/>
            </w:tcBorders>
            <w:shd w:fill="1E1B17" w:val="clear"/>
            <w:tcMar>
              <w:top w:type="dxa" w:w="120"/>
              <w:left w:type="dxa" w:w="160"/>
              <w:bottom w:type="dxa" w:w="120"/>
              <w:right w:type="dxa" w:w="160"/>
            </w:tcMar>
          </w:tcPr>
          <w:p>
            <w:pPr>
              <w:spacing w:after="40" w:before="40"/>
            </w:pPr>
            <w:r>
              <w:rPr>
                <w:rFonts w:ascii="Arial" w:cs="Arial" w:eastAsia="Arial" w:hAnsi="Arial"/>
                <w:b/>
                <w:bCs/>
                <w:color w:val="F4F0E8"/>
                <w:sz w:val="20"/>
                <w:szCs w:val="20"/>
              </w:rPr>
              <w:t xml:space="preserve">Depth language</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Mainstream business</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Get found. Look professional. Own your stuff.</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Platform independence. Your IP. Your audience.</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Mainstream creator</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Own your audience. Keep your revenue.</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No algorithm. No landlord. No takedowns.</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Bitcoin maximalist</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Sovereign. Unstoppable.</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Self-custodied. Permissionless. Bitcoin-native.</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Web3 / crypto native</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On-chain identity. Permissionless payments.</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Open protocol. Self-sovereign identity.</w:t>
            </w:r>
          </w:p>
        </w:tc>
      </w:tr>
      <w:tr>
        <w:tc>
          <w:tcPr>
            <w:tcW w:type="dxa" w:w="24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bCs/>
                <w:color w:val="1E1B17"/>
                <w:sz w:val="20"/>
                <w:szCs w:val="20"/>
              </w:rPr>
              <w:t xml:space="preserve">Enterprise / institution</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Verified intelligence. Cryptographic proof.</w:t>
            </w:r>
          </w:p>
        </w:tc>
        <w:tc>
          <w:tcPr>
            <w:tcW w:type="dxa" w:w="3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40"/>
            </w:pPr>
            <w:r>
              <w:rPr>
                <w:rFonts w:ascii="Arial" w:cs="Arial" w:eastAsia="Arial" w:hAnsi="Arial"/>
                <w:b w:val="false"/>
                <w:bCs w:val="false"/>
                <w:color w:val="1E1B17"/>
                <w:sz w:val="20"/>
                <w:szCs w:val="20"/>
              </w:rPr>
              <w:t xml:space="preserve">Cryptographically settled. Your board will thank you.</w:t>
            </w:r>
          </w:p>
        </w:tc>
      </w:tr>
    </w:tbl>
    <w:p>
      <w:pPr>
        <w:spacing w:before="600"/>
      </w:pPr>
    </w:p>
    <w:p>
      <w:pPr>
        <w:spacing w:after="60" w:before="400"/>
        <w:jc w:val="center"/>
      </w:pPr>
      <w:r>
        <w:rPr>
          <w:rFonts w:ascii="Arial" w:cs="Arial" w:eastAsia="Arial" w:hAnsi="Arial"/>
          <w:b/>
          <w:bCs/>
          <w:color w:val="1E1B17"/>
          <w:sz w:val="28"/>
          <w:szCs w:val="28"/>
        </w:rPr>
        <w:t xml:space="preserve">The foundation is complete.</w:t>
      </w:r>
    </w:p>
    <w:p>
      <w:pPr>
        <w:spacing w:after="200" w:before="40"/>
        <w:jc w:val="center"/>
      </w:pPr>
      <w:r>
        <w:rPr>
          <w:rFonts w:ascii="Arial" w:cs="Arial" w:eastAsia="Arial" w:hAnsi="Arial"/>
          <w:i/>
          <w:iCs/>
          <w:color w:val="606060"/>
          <w:sz w:val="22"/>
          <w:szCs w:val="22"/>
        </w:rPr>
        <w:t xml:space="preserve">Every wall built from here stands on this.</w:t>
      </w:r>
    </w:p>
    <w:p>
      <w:pPr>
        <w:spacing w:before="400"/>
        <w:jc w:val="center"/>
      </w:pPr>
      <w:r>
        <w:rPr>
          <w:rFonts w:ascii="Arial" w:cs="Arial" w:eastAsia="Arial" w:hAnsi="Arial"/>
          <w:color w:val="8E3B28"/>
          <w:sz w:val="20"/>
          <w:szCs w:val="20"/>
        </w:rPr>
        <w:t xml:space="preserve">nativeworks.studio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060"/>
        <w:sz w:val="16"/>
        <w:szCs w:val="16"/>
      </w:rPr>
      <w:t xml:space="preserve">Brand Identity v1.1  —  April 2026  —  </w:t>
    </w:r>
    <w:r>
      <w:rPr>
        <w:rFonts w:ascii="Arial" w:cs="Arial" w:eastAsia="Arial" w:hAnsi="Arial"/>
        <w:color w:val="606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06060"/>
        <w:sz w:val="16"/>
        <w:szCs w:val="16"/>
      </w:rPr>
      <w:t xml:space="preserve">NATIVE WORKS  —  BRAND IDENTITY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E1B17"/>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E1B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Works — Brand Identity v1.1</dc:title>
  <dc:creator>Native Works</dc:creator>
  <dc:description>Brand Identity Document</dc:description>
  <cp:lastModifiedBy>Un-named</cp:lastModifiedBy>
  <cp:revision>1</cp:revision>
  <dcterms:created xsi:type="dcterms:W3CDTF">2026-04-23T08:45:02.755Z</dcterms:created>
  <dcterms:modified xsi:type="dcterms:W3CDTF">2026-04-23T08:45:02.756Z</dcterms:modified>
</cp:coreProperties>
</file>

<file path=docProps/custom.xml><?xml version="1.0" encoding="utf-8"?>
<Properties xmlns="http://schemas.openxmlformats.org/officeDocument/2006/custom-properties" xmlns:vt="http://schemas.openxmlformats.org/officeDocument/2006/docPropsVTypes"/>
</file>