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Helvetica" w:hAnsi="Helvetica" w:cs="Helvetica"/>
          <w:sz w:val="45"/>
          <w:sz-cs w:val="45"/>
          <w:b/>
          <w:spacing w:val="0"/>
          <w:color w:val="0E0E0E"/>
        </w:rPr>
        <w:t xml:space="preserve">Ostrakel Payments - what I found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Two evenings of reading: their site, the engineering blog, the status page, two press pieces and one conference talk. Collected 12 to 20 September 2026.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What they sell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Two products. Ostrakel Route is the orchestration side: a marketplace integrates once and Route decides which processor each payment goes through. Ostrakel Books is the merchant ledger: it tracks what every seller on a marketplace is owed and when it is paid out. The role I'm talking to them about sits under Books.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Customers are mid-market marketplaces, not the giants. The two named on their site are Hattibazaar (groceries) and Rentloom (furniture rental). One press piece puts annualised payment volume at about USD 4.1 billion. I couldn't find a revenue figure anywhere and shouldn't quote one.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Money and people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Round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When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Amount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Lead investor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Series A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2020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USD 8 million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Kestrelmoor Partners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Series B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2022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USD 27 million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Kestrelmoor Partners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Series C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March 2025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USD 62 million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Harrowfield Ventures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Total raised: USD 97 million. The founders are Vennela Aramudhan (CEO, came out of a bank's treasury technology team) and Kaustubh Marivalen (CTO). A Singapore entity was set up in 2024 and they are live in Indonesia and Vietnam.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For comparison: Paylattice, the nearest competitor, has raised USD 140 million and is roughly twice the headcount. Ostrakel is the smaller and more engineering-led of the two, which is part of the appeal.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Engineering, seen from outside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Blog, May 2026, "Why our ledger never updates a row". The journal is append-only and a correction is a pair of reversing entries, never an edit. This post is the reason I applied.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Blog, on reconciliation. The unexplained break rate was 0.31% in 2024, before they rebuilt matching. The posting gives today's figure.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Talk by Sarvesh Idnavalli at Ledgerfest, February 2026, on idempotency keys. Keys are stored for 72 hours, and a retried request gets the original stored response back, not a second execution. In the Q&amp;A he was direct about what they got wrong the first time. He would be my manager.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Status page. On 11 June 2026 settlement files to 2 partner banks went out about 6 hours late. The public write-up blames a reconciliation batch that hung while holding a lock.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Employee reviews are thin: 63 on the one site I checked, average 4.1. The recurring complaint is on-call around month-end.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Why this one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Three reasons, in order. Correctness is the product there, not a quality attribute. The team is small and writes down how it thinks, in public. And it is the stack I already know (Go, PostgreSQL, Kafka) pointed at a domain I don't, which is the right amount of new.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Things to ask them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Is the Java settlement engine staying, or is there a plan to move it to Go? Either answer is fine; I want to know which one I'm signing up for.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How many pages does the primary get in a normal week, and what does month-end look like?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Which kinds of break make up most of what is left, and what is the plan for getting from today's rate to the target?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What does going from L5 to L6 look like in practice, and how many Staff engineers are there today?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What changed after the June settlement delay?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Not for round one: leave, the learning budget. Both are in the posting.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