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3"/>
      </w:pPr>
      <w:r>
        <w:rPr>
          <w:rFonts w:ascii="Helvetica" w:hAnsi="Helvetica" w:cs="Helvetica"/>
          <w:sz w:val="45"/>
          <w:sz-cs w:val="45"/>
          <w:b/>
          <w:spacing w:val="0"/>
          <w:color w:val="0E0E0E"/>
        </w:rPr>
        <w:t xml:space="preserve">Interview Scorecard: Engineering Lead, Ingestion Platform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Requisition ENG-2026-0417 | Scorecard version 2 | 4 September 2026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Owner: Idris Halvorsen-Peake (hiring manager) | Reviewed by: Leopoldine Achterberg, Head of Talent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How to use this scorecard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Every interviewer completes one scorecard per conversation and submits it before reading anyone else's. Rate all four dimensions. Where a conversation produced nothing on a dimension, write "no evidence" in the notes and rate what you did hear; do not guess.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Use past-tense behavioral prompts ("Tell me about the last time...") rather than hypotheticals. Record what the candidate says they did, not what their team did.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Rating scale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1 - Does not meet: no relevant evidence, or evidence of the opposite.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2 - Partially meets: some evidence, with gaps an onboarding plan would have to cover.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3 - Meets: clear, specific evidence at the level the role needs.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4 - Exceeds: evidence beyond the level of the role; could teach others.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Dimensions and weights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Technical depth in streaming systems carries 35% of the weighted score.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People leadership carries 30% of the weighted score.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Ownership and operational judgment carries 20% of the weighted score.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Communication carries 15% of the weighted score.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 candidate advances to the next stage when the weighted score is 3.0 or higher and no dimension is rated 1.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Must-have competencies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Each must-have needs its own evidence. A strong showing on one does not make up for a missing one.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Streaming platform operations: has run a log-based streaming platform in production and can describe a failure they diagnosed themselves.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Direct people management: at least 2 years with line responsibility, including hiring, and has handled at least one underperformance case.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Incident command: has led the response to a customer-facing incident and the review afterwards.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Explaining trade-offs: can explain a design trade-off to a non-specialist in under two minutes.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Nice-to-have competencies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These add to a profile. They are never a reason to reject.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Telematics or IoT device data.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Change data capture pipelines.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Cloud cost management for data infrastructure.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Multi-region, active-active deployments.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 candidate who shows three or more of the nice-to-have competencies may be marked "strong profile" in the summary line.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Evidence standard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 claim counts as verified when the candidate can state their own role, the size of the effort, one decision they personally made, and a measurable result. When an answer stays at "we", ask for the candidate's own part.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If something said in the interview differs from the resume, note both versions on the scorecard and ask the candidate to reconcile them. Do not assume which version is right.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Disqualifiers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Any one of these ends the process regardless of score. Record it and tell the hiring manager the same day.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Fewer than 2 years of direct people management. Mentoring and tech-lead work without line responsibility do not count.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Cannot describe their own individual contribution to a project they claim, after two follow-up prompts.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Unwilling to take part in the on-call rotation.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Red flags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These do not end the process on their own. Record them and raise them in the debrief.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Speaks dismissively about former colleagues or managers.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Shares a former employer's confidential customer data.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Takes sole credit for a team outcome and does not correct it when asked who else was involved.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Panel recommendation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After the panel loop, the recommendation is "hire" when at least 3 of the 4 panel interviewers score the candidate 3.0 or above.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Notes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Free text. Quote the candidate where you can. Keep opinions about personality, accent, age, family plans or anything unrelated to the competencies above out of the record.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